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2F136ECB"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CE0BF7">
        <w:t>93</w:t>
      </w:r>
      <w:r w:rsidRPr="00CE0424">
        <w:tab/>
      </w:r>
      <w:r w:rsidRPr="00CE0424">
        <w:rPr>
          <w:sz w:val="32"/>
          <w:szCs w:val="32"/>
        </w:rPr>
        <w:t xml:space="preserve">Tdoc </w:t>
      </w:r>
      <w:r w:rsidR="00091557" w:rsidRPr="00CE0424">
        <w:rPr>
          <w:sz w:val="32"/>
          <w:szCs w:val="32"/>
        </w:rPr>
        <w:t>R</w:t>
      </w:r>
      <w:r w:rsidR="008F1C4E">
        <w:rPr>
          <w:sz w:val="32"/>
          <w:szCs w:val="32"/>
        </w:rPr>
        <w:t>1</w:t>
      </w:r>
      <w:r w:rsidR="00091557" w:rsidRPr="00CE0424">
        <w:rPr>
          <w:sz w:val="32"/>
          <w:szCs w:val="32"/>
        </w:rPr>
        <w:t>-</w:t>
      </w:r>
      <w:r w:rsidR="005F3025" w:rsidRPr="00CE0424">
        <w:rPr>
          <w:sz w:val="32"/>
          <w:szCs w:val="32"/>
        </w:rPr>
        <w:t>1</w:t>
      </w:r>
      <w:r w:rsidR="008F1C4E">
        <w:rPr>
          <w:sz w:val="32"/>
          <w:szCs w:val="32"/>
        </w:rPr>
        <w:t>8</w:t>
      </w:r>
      <w:r w:rsidR="00AA75E3" w:rsidRPr="00AA75E3">
        <w:rPr>
          <w:sz w:val="32"/>
          <w:szCs w:val="32"/>
        </w:rPr>
        <w:t>07247</w:t>
      </w:r>
    </w:p>
    <w:p w14:paraId="51C3D3E7" w14:textId="77777777" w:rsidR="00E90E49" w:rsidRPr="00CE0424" w:rsidRDefault="00CE0BF7" w:rsidP="00311702">
      <w:pPr>
        <w:pStyle w:val="3GPPHeader"/>
      </w:pPr>
      <w:r w:rsidRPr="00CE0BF7">
        <w:t>Busan</w:t>
      </w:r>
      <w:r w:rsidR="0027144F" w:rsidRPr="00CE0BF7">
        <w:t xml:space="preserve">, </w:t>
      </w:r>
      <w:r w:rsidRPr="00CE0BF7">
        <w:t>Korea</w:t>
      </w:r>
      <w:r w:rsidR="0027144F" w:rsidRPr="00CE0BF7">
        <w:t xml:space="preserve">, </w:t>
      </w:r>
      <w:r w:rsidR="00311702" w:rsidRPr="00CE0BF7">
        <w:t>M</w:t>
      </w:r>
      <w:r w:rsidRPr="00CE0BF7">
        <w:t>ay 21</w:t>
      </w:r>
      <w:r w:rsidRPr="00CE0BF7">
        <w:rPr>
          <w:vertAlign w:val="superscript"/>
        </w:rPr>
        <w:t>st</w:t>
      </w:r>
      <w:r w:rsidRPr="00CE0BF7">
        <w:t xml:space="preserve"> – 25</w:t>
      </w:r>
      <w:r w:rsidRPr="00CE0BF7">
        <w:rPr>
          <w:vertAlign w:val="superscript"/>
        </w:rPr>
        <w:t>th</w:t>
      </w:r>
      <w:r w:rsidR="00C37CB2" w:rsidRPr="00CE0BF7">
        <w:t xml:space="preserve"> </w:t>
      </w:r>
      <w:r w:rsidR="0027144F" w:rsidRPr="00CE0BF7">
        <w:t>20</w:t>
      </w:r>
      <w:r w:rsidR="005F3025" w:rsidRPr="00CE0BF7">
        <w:t>1</w:t>
      </w:r>
      <w:r w:rsidR="001D53E7" w:rsidRPr="00CE0BF7">
        <w:t>8</w:t>
      </w:r>
    </w:p>
    <w:p w14:paraId="60A5317D" w14:textId="77777777" w:rsidR="00E90E49" w:rsidRPr="00CE0424" w:rsidRDefault="00E90E49" w:rsidP="00357380">
      <w:pPr>
        <w:pStyle w:val="3GPPHeader"/>
      </w:pPr>
    </w:p>
    <w:p w14:paraId="3C6869D1" w14:textId="1E5D1C56" w:rsidR="00E90E49" w:rsidRPr="00F43E02" w:rsidRDefault="00E90E49" w:rsidP="00311702">
      <w:pPr>
        <w:pStyle w:val="3GPPHeader"/>
        <w:rPr>
          <w:sz w:val="22"/>
          <w:szCs w:val="22"/>
          <w:lang w:val="en-US"/>
        </w:rPr>
      </w:pPr>
      <w:r w:rsidRPr="00F43E02">
        <w:rPr>
          <w:sz w:val="22"/>
          <w:szCs w:val="22"/>
          <w:lang w:val="en-US"/>
        </w:rPr>
        <w:t>Agenda Item:</w:t>
      </w:r>
      <w:r w:rsidRPr="00F43E02">
        <w:rPr>
          <w:sz w:val="22"/>
          <w:szCs w:val="22"/>
          <w:lang w:val="en-US"/>
        </w:rPr>
        <w:tab/>
      </w:r>
      <w:r w:rsidR="00887C55" w:rsidRPr="00F43E02">
        <w:rPr>
          <w:sz w:val="22"/>
          <w:szCs w:val="22"/>
          <w:lang w:val="en-US"/>
        </w:rPr>
        <w:t>7.1.3.1.2</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1A0C7E83" w:rsidR="00E90E49" w:rsidRPr="00CE0424" w:rsidRDefault="003D3C45" w:rsidP="00311702">
      <w:pPr>
        <w:pStyle w:val="3GPPHeader"/>
        <w:rPr>
          <w:sz w:val="22"/>
          <w:szCs w:val="22"/>
        </w:rPr>
      </w:pPr>
      <w:r>
        <w:rPr>
          <w:sz w:val="22"/>
          <w:szCs w:val="22"/>
        </w:rPr>
        <w:t>Title:</w:t>
      </w:r>
      <w:r w:rsidR="00E90E49" w:rsidRPr="00CE0424">
        <w:rPr>
          <w:sz w:val="22"/>
          <w:szCs w:val="22"/>
        </w:rPr>
        <w:tab/>
      </w:r>
      <w:r w:rsidR="00374ABA">
        <w:rPr>
          <w:sz w:val="22"/>
          <w:szCs w:val="22"/>
        </w:rPr>
        <w:t xml:space="preserve">Remaining issues of </w:t>
      </w:r>
      <w:r w:rsidR="00E30D47">
        <w:rPr>
          <w:sz w:val="22"/>
          <w:szCs w:val="22"/>
        </w:rPr>
        <w:t>search space</w:t>
      </w:r>
    </w:p>
    <w:p w14:paraId="76893D37" w14:textId="725B8DC6" w:rsidR="00E90E49" w:rsidRPr="000E5128" w:rsidRDefault="00E90E49" w:rsidP="000E5128">
      <w:pPr>
        <w:pStyle w:val="3GPPHeader"/>
        <w:rPr>
          <w:sz w:val="22"/>
          <w:szCs w:val="22"/>
        </w:rPr>
      </w:pPr>
      <w:r w:rsidRPr="00CE0424">
        <w:rPr>
          <w:sz w:val="22"/>
          <w:szCs w:val="22"/>
        </w:rPr>
        <w:t>Document for:</w:t>
      </w:r>
      <w:r w:rsidRPr="00CE0424">
        <w:rPr>
          <w:sz w:val="22"/>
          <w:szCs w:val="22"/>
        </w:rPr>
        <w:tab/>
      </w:r>
      <w:r w:rsidRPr="00374ABA">
        <w:rPr>
          <w:sz w:val="22"/>
          <w:szCs w:val="22"/>
        </w:rPr>
        <w:t>Discussion</w:t>
      </w:r>
      <w:r w:rsidR="00374ABA" w:rsidRPr="00374ABA">
        <w:rPr>
          <w:sz w:val="22"/>
          <w:szCs w:val="22"/>
        </w:rPr>
        <w:t xml:space="preserve"> and</w:t>
      </w:r>
      <w:r w:rsidRPr="00374ABA">
        <w:rPr>
          <w:sz w:val="22"/>
          <w:szCs w:val="22"/>
        </w:rPr>
        <w:t xml:space="preserve"> Decision</w:t>
      </w:r>
    </w:p>
    <w:p w14:paraId="09FE4FCF" w14:textId="77777777" w:rsidR="00E90E49" w:rsidRPr="00CE0424" w:rsidRDefault="00230D18" w:rsidP="00CE0424">
      <w:pPr>
        <w:pStyle w:val="Heading1"/>
      </w:pPr>
      <w:r>
        <w:t>1</w:t>
      </w:r>
      <w:r>
        <w:tab/>
      </w:r>
      <w:r w:rsidR="00E90E49" w:rsidRPr="00CE0424">
        <w:t>Introduction</w:t>
      </w:r>
    </w:p>
    <w:p w14:paraId="7C48702B" w14:textId="1CB709D8" w:rsidR="00477768" w:rsidRPr="000E5128" w:rsidRDefault="002B626A" w:rsidP="000E5128">
      <w:pPr>
        <w:spacing w:after="0"/>
        <w:jc w:val="both"/>
        <w:rPr>
          <w:rFonts w:ascii="Arial" w:hAnsi="Arial" w:cs="Arial"/>
        </w:rPr>
      </w:pPr>
      <w:r w:rsidRPr="002B626A">
        <w:rPr>
          <w:rFonts w:ascii="Arial" w:hAnsi="Arial" w:cs="Arial"/>
        </w:rPr>
        <w:t xml:space="preserve">In this contribution, we discuss the remaining issues of </w:t>
      </w:r>
      <w:r w:rsidR="00E30D47">
        <w:rPr>
          <w:rFonts w:ascii="Arial" w:hAnsi="Arial" w:cs="Arial"/>
        </w:rPr>
        <w:t>search space</w:t>
      </w:r>
      <w:r w:rsidRPr="002B626A">
        <w:rPr>
          <w:rFonts w:ascii="Arial" w:hAnsi="Arial" w:cs="Arial"/>
        </w:rPr>
        <w:t xml:space="preserve"> needed to stabilize the basic and essential NR functionalities within the scope of the drop approved during RAN#78.</w:t>
      </w:r>
    </w:p>
    <w:p w14:paraId="020415C4" w14:textId="77777777" w:rsidR="004000E8" w:rsidRPr="00CE0424" w:rsidRDefault="00230D18" w:rsidP="00CE0424">
      <w:pPr>
        <w:pStyle w:val="Heading1"/>
      </w:pPr>
      <w:bookmarkStart w:id="0" w:name="_Ref178064866"/>
      <w:r>
        <w:t>2</w:t>
      </w:r>
      <w:r>
        <w:tab/>
      </w:r>
      <w:r w:rsidR="004000E8" w:rsidRPr="00CE0424">
        <w:t>Discussion</w:t>
      </w:r>
      <w:bookmarkEnd w:id="0"/>
    </w:p>
    <w:p w14:paraId="71C3A24B" w14:textId="1DCBF2A9" w:rsidR="00F63950" w:rsidRDefault="00230D18" w:rsidP="00F63950">
      <w:pPr>
        <w:pStyle w:val="Heading2"/>
      </w:pPr>
      <w:r>
        <w:t>2.1</w:t>
      </w:r>
      <w:r>
        <w:tab/>
      </w:r>
      <w:r w:rsidR="00FD155E">
        <w:t>Whether or not to monitor TC-RNTI in USS</w:t>
      </w:r>
    </w:p>
    <w:p w14:paraId="0BDC1DE5" w14:textId="6E60A092" w:rsidR="00FD155E" w:rsidRDefault="00FD155E" w:rsidP="00FD155E">
      <w:pPr>
        <w:rPr>
          <w:rFonts w:ascii="Arial" w:hAnsi="Arial" w:cs="Arial"/>
          <w:lang w:eastAsia="x-none"/>
        </w:rPr>
      </w:pPr>
      <w:r w:rsidRPr="008561EE">
        <w:rPr>
          <w:rFonts w:ascii="Arial" w:hAnsi="Arial" w:cs="Arial"/>
          <w:lang w:eastAsia="x-none"/>
        </w:rPr>
        <w:t>In RAN1 ad hoc meeting in Vancouver, the following agreement was made, indicating TC-RNTI is monitored in USS if a certain condition is met. However, it has not been discussed what the condition is.</w:t>
      </w:r>
    </w:p>
    <w:p w14:paraId="0BFCFED9" w14:textId="4FDAB7A5" w:rsidR="0037674A" w:rsidRPr="008561EE" w:rsidRDefault="0037674A" w:rsidP="00FD155E">
      <w:pPr>
        <w:rPr>
          <w:rFonts w:ascii="Arial" w:hAnsi="Arial" w:cs="Arial"/>
          <w:lang w:eastAsia="x-none"/>
        </w:rPr>
      </w:pPr>
      <w:r>
        <w:rPr>
          <w:noProof/>
        </w:rPr>
        <mc:AlternateContent>
          <mc:Choice Requires="wps">
            <w:drawing>
              <wp:inline distT="0" distB="0" distL="0" distR="0" wp14:anchorId="14C41AC6" wp14:editId="217F4FD5">
                <wp:extent cx="6120765" cy="2823667"/>
                <wp:effectExtent l="0" t="0" r="13335" b="15240"/>
                <wp:docPr id="9" name="Text Box 9"/>
                <wp:cNvGraphicFramePr/>
                <a:graphic xmlns:a="http://schemas.openxmlformats.org/drawingml/2006/main">
                  <a:graphicData uri="http://schemas.microsoft.com/office/word/2010/wordprocessingShape">
                    <wps:wsp>
                      <wps:cNvSpPr txBox="1"/>
                      <wps:spPr>
                        <a:xfrm>
                          <a:off x="0" y="0"/>
                          <a:ext cx="6120765" cy="2823667"/>
                        </a:xfrm>
                        <a:prstGeom prst="rect">
                          <a:avLst/>
                        </a:prstGeom>
                        <a:solidFill>
                          <a:schemeClr val="lt1"/>
                        </a:solidFill>
                        <a:ln w="6350">
                          <a:solidFill>
                            <a:prstClr val="black"/>
                          </a:solidFill>
                        </a:ln>
                      </wps:spPr>
                      <wps:txbx>
                        <w:txbxContent>
                          <w:p w14:paraId="280DF2F2" w14:textId="77777777" w:rsidR="00CC6E94" w:rsidRPr="008561EE" w:rsidRDefault="00CC6E94" w:rsidP="0037674A">
                            <w:pPr>
                              <w:ind w:left="420"/>
                              <w:rPr>
                                <w:rFonts w:ascii="Arial" w:hAnsi="Arial" w:cs="Arial"/>
                                <w:b/>
                                <w:i/>
                                <w:lang w:eastAsia="x-none"/>
                              </w:rPr>
                            </w:pPr>
                            <w:r w:rsidRPr="008561EE">
                              <w:rPr>
                                <w:rFonts w:ascii="Arial" w:hAnsi="Arial" w:cs="Arial"/>
                                <w:i/>
                                <w:highlight w:val="green"/>
                                <w:lang w:eastAsia="x-none"/>
                              </w:rPr>
                              <w:t>Agreements</w:t>
                            </w:r>
                            <w:r w:rsidRPr="008561EE">
                              <w:rPr>
                                <w:rFonts w:ascii="Arial" w:hAnsi="Arial" w:cs="Arial"/>
                                <w:b/>
                                <w:i/>
                                <w:lang w:eastAsia="x-none"/>
                              </w:rPr>
                              <w:t>:</w:t>
                            </w:r>
                          </w:p>
                          <w:p w14:paraId="3A2DF3E6" w14:textId="77777777" w:rsidR="00CC6E94" w:rsidRPr="008561EE" w:rsidRDefault="00CC6E94" w:rsidP="0037674A">
                            <w:pPr>
                              <w:pStyle w:val="BodyText"/>
                              <w:numPr>
                                <w:ilvl w:val="0"/>
                                <w:numId w:val="27"/>
                              </w:numPr>
                              <w:overflowPunct/>
                              <w:autoSpaceDE/>
                              <w:autoSpaceDN/>
                              <w:adjustRightInd/>
                              <w:spacing w:afterLines="50"/>
                              <w:ind w:left="1200"/>
                              <w:textAlignment w:val="auto"/>
                              <w:rPr>
                                <w:rFonts w:cs="Arial"/>
                                <w:i/>
                                <w:lang w:val="en-US"/>
                              </w:rPr>
                            </w:pPr>
                            <w:r w:rsidRPr="008561EE">
                              <w:rPr>
                                <w:rFonts w:cs="Arial"/>
                                <w:i/>
                                <w:lang w:val="en-US"/>
                              </w:rPr>
                              <w:t>For each search space configuration configured by UE-specific RRC signaling, the UE is informed whether the search space configuration is CSS or USS, together with the following information, as part of the search space configuration:</w:t>
                            </w:r>
                          </w:p>
                          <w:p w14:paraId="0FF28B0F" w14:textId="77777777" w:rsidR="00CC6E94" w:rsidRPr="008561EE" w:rsidRDefault="00CC6E94" w:rsidP="0037674A">
                            <w:pPr>
                              <w:pStyle w:val="BodyText"/>
                              <w:numPr>
                                <w:ilvl w:val="1"/>
                                <w:numId w:val="27"/>
                              </w:numPr>
                              <w:overflowPunct/>
                              <w:autoSpaceDE/>
                              <w:autoSpaceDN/>
                              <w:adjustRightInd/>
                              <w:spacing w:afterLines="50"/>
                              <w:ind w:left="1920"/>
                              <w:textAlignment w:val="auto"/>
                              <w:rPr>
                                <w:rFonts w:cs="Arial"/>
                                <w:i/>
                                <w:lang w:val="en-US"/>
                              </w:rPr>
                            </w:pPr>
                            <w:r w:rsidRPr="008561EE">
                              <w:rPr>
                                <w:rFonts w:cs="Arial"/>
                                <w:i/>
                                <w:lang w:val="en-US"/>
                              </w:rPr>
                              <w:t>Which DCI format(s) to monitor</w:t>
                            </w:r>
                          </w:p>
                          <w:p w14:paraId="66CD8362" w14:textId="77777777" w:rsidR="00CC6E94" w:rsidRPr="008561EE" w:rsidRDefault="00CC6E94" w:rsidP="0037674A">
                            <w:pPr>
                              <w:pStyle w:val="BodyText"/>
                              <w:numPr>
                                <w:ilvl w:val="2"/>
                                <w:numId w:val="27"/>
                              </w:numPr>
                              <w:overflowPunct/>
                              <w:autoSpaceDE/>
                              <w:autoSpaceDN/>
                              <w:adjustRightInd/>
                              <w:spacing w:afterLines="50"/>
                              <w:ind w:left="2640"/>
                              <w:textAlignment w:val="auto"/>
                              <w:rPr>
                                <w:rFonts w:cs="Arial"/>
                                <w:i/>
                                <w:lang w:val="en-US"/>
                              </w:rPr>
                            </w:pPr>
                            <w:r w:rsidRPr="008561EE">
                              <w:rPr>
                                <w:rFonts w:cs="Arial"/>
                                <w:i/>
                                <w:lang w:val="en-US"/>
                              </w:rPr>
                              <w:t>For a CSS,</w:t>
                            </w:r>
                          </w:p>
                          <w:p w14:paraId="753624A2" w14:textId="77777777" w:rsidR="00CC6E94" w:rsidRPr="008561EE" w:rsidRDefault="00CC6E94" w:rsidP="0037674A">
                            <w:pPr>
                              <w:pStyle w:val="BodyText"/>
                              <w:numPr>
                                <w:ilvl w:val="3"/>
                                <w:numId w:val="27"/>
                              </w:numPr>
                              <w:overflowPunct/>
                              <w:autoSpaceDE/>
                              <w:autoSpaceDN/>
                              <w:adjustRightInd/>
                              <w:spacing w:afterLines="50"/>
                              <w:ind w:left="3360"/>
                              <w:textAlignment w:val="auto"/>
                              <w:rPr>
                                <w:rFonts w:cs="Arial"/>
                                <w:i/>
                                <w:lang w:val="en-US"/>
                              </w:rPr>
                            </w:pPr>
                            <w:r w:rsidRPr="008561EE">
                              <w:rPr>
                                <w:rFonts w:cs="Arial"/>
                                <w:i/>
                                <w:lang w:val="en-US"/>
                              </w:rPr>
                              <w:t>…</w:t>
                            </w:r>
                          </w:p>
                          <w:p w14:paraId="3928597B" w14:textId="77777777" w:rsidR="00CC6E94" w:rsidRPr="008561EE" w:rsidRDefault="00CC6E94" w:rsidP="0037674A">
                            <w:pPr>
                              <w:pStyle w:val="BodyText"/>
                              <w:numPr>
                                <w:ilvl w:val="2"/>
                                <w:numId w:val="27"/>
                              </w:numPr>
                              <w:overflowPunct/>
                              <w:autoSpaceDE/>
                              <w:autoSpaceDN/>
                              <w:adjustRightInd/>
                              <w:spacing w:afterLines="50"/>
                              <w:ind w:left="2640"/>
                              <w:textAlignment w:val="auto"/>
                              <w:rPr>
                                <w:rFonts w:cs="Arial"/>
                                <w:i/>
                                <w:lang w:val="en-US"/>
                              </w:rPr>
                            </w:pPr>
                            <w:r w:rsidRPr="008561EE">
                              <w:rPr>
                                <w:rFonts w:cs="Arial"/>
                                <w:i/>
                                <w:lang w:val="en-US"/>
                              </w:rPr>
                              <w:t>For USS,</w:t>
                            </w:r>
                          </w:p>
                          <w:p w14:paraId="5BFD9C9F" w14:textId="77777777" w:rsidR="00CC6E94" w:rsidRPr="008561EE" w:rsidRDefault="00CC6E94" w:rsidP="0037674A">
                            <w:pPr>
                              <w:pStyle w:val="BodyText"/>
                              <w:numPr>
                                <w:ilvl w:val="3"/>
                                <w:numId w:val="27"/>
                              </w:numPr>
                              <w:overflowPunct/>
                              <w:autoSpaceDE/>
                              <w:autoSpaceDN/>
                              <w:adjustRightInd/>
                              <w:spacing w:afterLines="50"/>
                              <w:ind w:left="3360"/>
                              <w:textAlignment w:val="auto"/>
                              <w:rPr>
                                <w:rFonts w:cs="Arial"/>
                                <w:i/>
                                <w:lang w:val="en-US"/>
                              </w:rPr>
                            </w:pPr>
                            <w:r w:rsidRPr="008561EE">
                              <w:rPr>
                                <w:rFonts w:cs="Arial"/>
                                <w:i/>
                                <w:lang w:val="en-US"/>
                              </w:rPr>
                              <w:t xml:space="preserve">A UE monitors the DCI format with CRC scrambled by C-RNTI, CS-RNTI (if configured), </w:t>
                            </w:r>
                            <w:r w:rsidRPr="008561EE">
                              <w:rPr>
                                <w:rFonts w:cs="Arial"/>
                                <w:i/>
                                <w:highlight w:val="yellow"/>
                                <w:lang w:val="en-US"/>
                              </w:rPr>
                              <w:t>TC-RNTI (if a certain condition is met)</w:t>
                            </w:r>
                            <w:r w:rsidRPr="008561EE">
                              <w:rPr>
                                <w:rFonts w:cs="Arial"/>
                                <w:i/>
                                <w:lang w:val="en-US"/>
                              </w:rPr>
                              <w:t>, and SP-CSI-RNTI (if configured)</w:t>
                            </w:r>
                          </w:p>
                          <w:p w14:paraId="2B6E70E8" w14:textId="77777777" w:rsidR="00CC6E94" w:rsidRPr="001A68CD" w:rsidRDefault="00CC6E94" w:rsidP="0037674A">
                            <w:pPr>
                              <w:pStyle w:val="BodyText"/>
                              <w:numPr>
                                <w:ilvl w:val="4"/>
                                <w:numId w:val="27"/>
                              </w:numPr>
                              <w:overflowPunct/>
                              <w:autoSpaceDE/>
                              <w:autoSpaceDN/>
                              <w:adjustRightInd/>
                              <w:spacing w:afterLines="50"/>
                              <w:ind w:left="4080"/>
                              <w:textAlignment w:val="auto"/>
                              <w:rPr>
                                <w:rFonts w:cs="Arial"/>
                                <w:i/>
                                <w:highlight w:val="yellow"/>
                                <w:lang w:val="en-US"/>
                              </w:rPr>
                            </w:pPr>
                            <w:r w:rsidRPr="001A68CD">
                              <w:rPr>
                                <w:rFonts w:cs="Arial"/>
                                <w:i/>
                                <w:highlight w:val="yellow"/>
                                <w:lang w:val="en-US"/>
                              </w:rPr>
                              <w:t xml:space="preserve">Further discussion offline the association of the RNTIs with DCI formats </w:t>
                            </w:r>
                          </w:p>
                          <w:p w14:paraId="46EE3266" w14:textId="77777777" w:rsidR="00CC6E94" w:rsidRPr="008561EE" w:rsidRDefault="00CC6E94" w:rsidP="0037674A">
                            <w:pPr>
                              <w:pStyle w:val="BodyText"/>
                              <w:numPr>
                                <w:ilvl w:val="3"/>
                                <w:numId w:val="27"/>
                              </w:numPr>
                              <w:overflowPunct/>
                              <w:autoSpaceDE/>
                              <w:autoSpaceDN/>
                              <w:adjustRightInd/>
                              <w:spacing w:afterLines="50"/>
                              <w:ind w:left="3360"/>
                              <w:textAlignment w:val="auto"/>
                              <w:rPr>
                                <w:rFonts w:cs="Arial"/>
                                <w:i/>
                                <w:lang w:val="en-US"/>
                              </w:rPr>
                            </w:pPr>
                            <w:r w:rsidRPr="008561EE">
                              <w:rPr>
                                <w:rFonts w:cs="Arial"/>
                                <w:i/>
                                <w:lang w:val="en-US"/>
                              </w:rPr>
                              <w:t>Monitoring of multiple DCI formats can be configured for one USS</w:t>
                            </w:r>
                          </w:p>
                          <w:p w14:paraId="70A04743" w14:textId="48E58436" w:rsidR="00CC6E94" w:rsidRPr="0037674A" w:rsidRDefault="00CC6E94" w:rsidP="0037674A">
                            <w:pPr>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14C41AC6" id="_x0000_t202" coordsize="21600,21600" o:spt="202" path="m,l,21600r21600,l21600,xe">
                <v:stroke joinstyle="miter"/>
                <v:path gradientshapeok="t" o:connecttype="rect"/>
              </v:shapetype>
              <v:shape id="Text Box 9" o:spid="_x0000_s1026" type="#_x0000_t202" style="width:481.95pt;height:222.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" fillcolor="white [3201]" strokeweight=".5pt">
                <v:textbox>
                  <w:txbxContent>
                    <w:p w14:paraId="280DF2F2" w14:textId="77777777" w:rsidR="00CC6E94" w:rsidRPr="008561EE" w:rsidRDefault="00CC6E94" w:rsidP="0037674A">
                      <w:pPr>
                        <w:ind w:left="420"/>
                        <w:rPr>
                          <w:rFonts w:ascii="Arial" w:hAnsi="Arial" w:cs="Arial"/>
                          <w:b/>
                          <w:i/>
                          <w:lang w:eastAsia="x-none"/>
                        </w:rPr>
                      </w:pPr>
                      <w:r w:rsidRPr="008561EE">
                        <w:rPr>
                          <w:rFonts w:ascii="Arial" w:hAnsi="Arial" w:cs="Arial"/>
                          <w:i/>
                          <w:highlight w:val="green"/>
                          <w:lang w:eastAsia="x-none"/>
                        </w:rPr>
                        <w:t>Agreements</w:t>
                      </w:r>
                      <w:r w:rsidRPr="008561EE">
                        <w:rPr>
                          <w:rFonts w:ascii="Arial" w:hAnsi="Arial" w:cs="Arial"/>
                          <w:b/>
                          <w:i/>
                          <w:lang w:eastAsia="x-none"/>
                        </w:rPr>
                        <w:t>:</w:t>
                      </w:r>
                    </w:p>
                    <w:p w14:paraId="3A2DF3E6" w14:textId="77777777" w:rsidR="00CC6E94" w:rsidRPr="008561EE" w:rsidRDefault="00CC6E94" w:rsidP="0037674A">
                      <w:pPr>
                        <w:pStyle w:val="BodyText"/>
                        <w:numPr>
                          <w:ilvl w:val="0"/>
                          <w:numId w:val="27"/>
                        </w:numPr>
                        <w:overflowPunct/>
                        <w:autoSpaceDE/>
                        <w:autoSpaceDN/>
                        <w:adjustRightInd/>
                        <w:spacing w:afterLines="50"/>
                        <w:ind w:left="1200"/>
                        <w:textAlignment w:val="auto"/>
                        <w:rPr>
                          <w:rFonts w:cs="Arial"/>
                          <w:i/>
                          <w:lang w:val="en-US"/>
                        </w:rPr>
                      </w:pPr>
                      <w:r w:rsidRPr="008561EE">
                        <w:rPr>
                          <w:rFonts w:cs="Arial"/>
                          <w:i/>
                          <w:lang w:val="en-US"/>
                        </w:rPr>
                        <w:t>For each search space configuration configured by UE-specific RRC signaling, the UE is informed whether the search space configuration is CSS or USS, together with the following information, as part of the search space configuration:</w:t>
                      </w:r>
                    </w:p>
                    <w:p w14:paraId="0FF28B0F" w14:textId="77777777" w:rsidR="00CC6E94" w:rsidRPr="008561EE" w:rsidRDefault="00CC6E94" w:rsidP="0037674A">
                      <w:pPr>
                        <w:pStyle w:val="BodyText"/>
                        <w:numPr>
                          <w:ilvl w:val="1"/>
                          <w:numId w:val="27"/>
                        </w:numPr>
                        <w:overflowPunct/>
                        <w:autoSpaceDE/>
                        <w:autoSpaceDN/>
                        <w:adjustRightInd/>
                        <w:spacing w:afterLines="50"/>
                        <w:ind w:left="1920"/>
                        <w:textAlignment w:val="auto"/>
                        <w:rPr>
                          <w:rFonts w:cs="Arial"/>
                          <w:i/>
                          <w:lang w:val="en-US"/>
                        </w:rPr>
                      </w:pPr>
                      <w:r w:rsidRPr="008561EE">
                        <w:rPr>
                          <w:rFonts w:cs="Arial"/>
                          <w:i/>
                          <w:lang w:val="en-US"/>
                        </w:rPr>
                        <w:t>Which DCI format(s) to monitor</w:t>
                      </w:r>
                    </w:p>
                    <w:p w14:paraId="66CD8362" w14:textId="77777777" w:rsidR="00CC6E94" w:rsidRPr="008561EE" w:rsidRDefault="00CC6E94" w:rsidP="0037674A">
                      <w:pPr>
                        <w:pStyle w:val="BodyText"/>
                        <w:numPr>
                          <w:ilvl w:val="2"/>
                          <w:numId w:val="27"/>
                        </w:numPr>
                        <w:overflowPunct/>
                        <w:autoSpaceDE/>
                        <w:autoSpaceDN/>
                        <w:adjustRightInd/>
                        <w:spacing w:afterLines="50"/>
                        <w:ind w:left="2640"/>
                        <w:textAlignment w:val="auto"/>
                        <w:rPr>
                          <w:rFonts w:cs="Arial"/>
                          <w:i/>
                          <w:lang w:val="en-US"/>
                        </w:rPr>
                      </w:pPr>
                      <w:r w:rsidRPr="008561EE">
                        <w:rPr>
                          <w:rFonts w:cs="Arial"/>
                          <w:i/>
                          <w:lang w:val="en-US"/>
                        </w:rPr>
                        <w:t>For a CSS,</w:t>
                      </w:r>
                    </w:p>
                    <w:p w14:paraId="753624A2" w14:textId="77777777" w:rsidR="00CC6E94" w:rsidRPr="008561EE" w:rsidRDefault="00CC6E94" w:rsidP="0037674A">
                      <w:pPr>
                        <w:pStyle w:val="BodyText"/>
                        <w:numPr>
                          <w:ilvl w:val="3"/>
                          <w:numId w:val="27"/>
                        </w:numPr>
                        <w:overflowPunct/>
                        <w:autoSpaceDE/>
                        <w:autoSpaceDN/>
                        <w:adjustRightInd/>
                        <w:spacing w:afterLines="50"/>
                        <w:ind w:left="3360"/>
                        <w:textAlignment w:val="auto"/>
                        <w:rPr>
                          <w:rFonts w:cs="Arial"/>
                          <w:i/>
                          <w:lang w:val="en-US"/>
                        </w:rPr>
                      </w:pPr>
                      <w:r w:rsidRPr="008561EE">
                        <w:rPr>
                          <w:rFonts w:cs="Arial"/>
                          <w:i/>
                          <w:lang w:val="en-US"/>
                        </w:rPr>
                        <w:t>…</w:t>
                      </w:r>
                    </w:p>
                    <w:p w14:paraId="3928597B" w14:textId="77777777" w:rsidR="00CC6E94" w:rsidRPr="008561EE" w:rsidRDefault="00CC6E94" w:rsidP="0037674A">
                      <w:pPr>
                        <w:pStyle w:val="BodyText"/>
                        <w:numPr>
                          <w:ilvl w:val="2"/>
                          <w:numId w:val="27"/>
                        </w:numPr>
                        <w:overflowPunct/>
                        <w:autoSpaceDE/>
                        <w:autoSpaceDN/>
                        <w:adjustRightInd/>
                        <w:spacing w:afterLines="50"/>
                        <w:ind w:left="2640"/>
                        <w:textAlignment w:val="auto"/>
                        <w:rPr>
                          <w:rFonts w:cs="Arial"/>
                          <w:i/>
                          <w:lang w:val="en-US"/>
                        </w:rPr>
                      </w:pPr>
                      <w:r w:rsidRPr="008561EE">
                        <w:rPr>
                          <w:rFonts w:cs="Arial"/>
                          <w:i/>
                          <w:lang w:val="en-US"/>
                        </w:rPr>
                        <w:t>For USS,</w:t>
                      </w:r>
                    </w:p>
                    <w:p w14:paraId="5BFD9C9F" w14:textId="77777777" w:rsidR="00CC6E94" w:rsidRPr="008561EE" w:rsidRDefault="00CC6E94" w:rsidP="0037674A">
                      <w:pPr>
                        <w:pStyle w:val="BodyText"/>
                        <w:numPr>
                          <w:ilvl w:val="3"/>
                          <w:numId w:val="27"/>
                        </w:numPr>
                        <w:overflowPunct/>
                        <w:autoSpaceDE/>
                        <w:autoSpaceDN/>
                        <w:adjustRightInd/>
                        <w:spacing w:afterLines="50"/>
                        <w:ind w:left="3360"/>
                        <w:textAlignment w:val="auto"/>
                        <w:rPr>
                          <w:rFonts w:cs="Arial"/>
                          <w:i/>
                          <w:lang w:val="en-US"/>
                        </w:rPr>
                      </w:pPr>
                      <w:r w:rsidRPr="008561EE">
                        <w:rPr>
                          <w:rFonts w:cs="Arial"/>
                          <w:i/>
                          <w:lang w:val="en-US"/>
                        </w:rPr>
                        <w:t xml:space="preserve">A UE monitors the DCI format with CRC scrambled by C-RNTI, CS-RNTI (if configured), </w:t>
                      </w:r>
                      <w:r w:rsidRPr="008561EE">
                        <w:rPr>
                          <w:rFonts w:cs="Arial"/>
                          <w:i/>
                          <w:highlight w:val="yellow"/>
                          <w:lang w:val="en-US"/>
                        </w:rPr>
                        <w:t>TC-RNTI (if a certain condition is met)</w:t>
                      </w:r>
                      <w:r w:rsidRPr="008561EE">
                        <w:rPr>
                          <w:rFonts w:cs="Arial"/>
                          <w:i/>
                          <w:lang w:val="en-US"/>
                        </w:rPr>
                        <w:t>, and SP-CSI-RNTI (if configured)</w:t>
                      </w:r>
                    </w:p>
                    <w:p w14:paraId="2B6E70E8" w14:textId="77777777" w:rsidR="00CC6E94" w:rsidRPr="001A68CD" w:rsidRDefault="00CC6E94" w:rsidP="0037674A">
                      <w:pPr>
                        <w:pStyle w:val="BodyText"/>
                        <w:numPr>
                          <w:ilvl w:val="4"/>
                          <w:numId w:val="27"/>
                        </w:numPr>
                        <w:overflowPunct/>
                        <w:autoSpaceDE/>
                        <w:autoSpaceDN/>
                        <w:adjustRightInd/>
                        <w:spacing w:afterLines="50"/>
                        <w:ind w:left="4080"/>
                        <w:textAlignment w:val="auto"/>
                        <w:rPr>
                          <w:rFonts w:cs="Arial"/>
                          <w:i/>
                          <w:highlight w:val="yellow"/>
                          <w:lang w:val="en-US"/>
                        </w:rPr>
                      </w:pPr>
                      <w:r w:rsidRPr="001A68CD">
                        <w:rPr>
                          <w:rFonts w:cs="Arial"/>
                          <w:i/>
                          <w:highlight w:val="yellow"/>
                          <w:lang w:val="en-US"/>
                        </w:rPr>
                        <w:t xml:space="preserve">Further discussion offline the association of the RNTIs with DCI formats </w:t>
                      </w:r>
                    </w:p>
                    <w:p w14:paraId="46EE3266" w14:textId="77777777" w:rsidR="00CC6E94" w:rsidRPr="008561EE" w:rsidRDefault="00CC6E94" w:rsidP="0037674A">
                      <w:pPr>
                        <w:pStyle w:val="BodyText"/>
                        <w:numPr>
                          <w:ilvl w:val="3"/>
                          <w:numId w:val="27"/>
                        </w:numPr>
                        <w:overflowPunct/>
                        <w:autoSpaceDE/>
                        <w:autoSpaceDN/>
                        <w:adjustRightInd/>
                        <w:spacing w:afterLines="50"/>
                        <w:ind w:left="3360"/>
                        <w:textAlignment w:val="auto"/>
                        <w:rPr>
                          <w:rFonts w:cs="Arial"/>
                          <w:i/>
                          <w:lang w:val="en-US"/>
                        </w:rPr>
                      </w:pPr>
                      <w:r w:rsidRPr="008561EE">
                        <w:rPr>
                          <w:rFonts w:cs="Arial"/>
                          <w:i/>
                          <w:lang w:val="en-US"/>
                        </w:rPr>
                        <w:t>Monitoring of multiple DCI formats can be configured for one USS</w:t>
                      </w:r>
                    </w:p>
                    <w:p w14:paraId="70A04743" w14:textId="48E58436" w:rsidR="00CC6E94" w:rsidRPr="0037674A" w:rsidRDefault="00CC6E94" w:rsidP="0037674A">
                      <w:pPr>
                        <w:rPr>
                          <w:lang w:val="en-US"/>
                        </w:rPr>
                      </w:pPr>
                    </w:p>
                  </w:txbxContent>
                </v:textbox>
                <w10:anchorlock/>
              </v:shape>
            </w:pict>
          </mc:Fallback>
        </mc:AlternateContent>
      </w:r>
    </w:p>
    <w:p w14:paraId="0B9439F9" w14:textId="59AC3A60" w:rsidR="00FD155E" w:rsidRPr="008561EE" w:rsidRDefault="00FD155E" w:rsidP="00AA75E3">
      <w:pPr>
        <w:jc w:val="both"/>
        <w:rPr>
          <w:rFonts w:ascii="Arial" w:hAnsi="Arial" w:cs="Arial"/>
          <w:lang w:eastAsia="zh-CN"/>
        </w:rPr>
      </w:pPr>
      <w:r w:rsidRPr="008561EE">
        <w:rPr>
          <w:rFonts w:ascii="Arial" w:hAnsi="Arial" w:cs="Arial"/>
          <w:lang w:eastAsia="zh-CN"/>
        </w:rPr>
        <w:t xml:space="preserve">In LTE, due to the concern that CSS may be congested, TC-RNTI is also monitored in USS for Msg4 transmission. (Note that TC-RNTI is monitored in CSS for Msg3 transmission.) </w:t>
      </w:r>
      <w:r w:rsidR="008561EE" w:rsidRPr="008561EE">
        <w:rPr>
          <w:rFonts w:ascii="Arial" w:hAnsi="Arial" w:cs="Arial"/>
          <w:lang w:eastAsia="zh-CN"/>
        </w:rPr>
        <w:t>Monitoring TC-RNTI in USS is possible in LTE since USS in LTE can be derived from system information without RRC configuration. In NR, the motivation of monitoring TC-RNTI in USS is not clear or it is not even feasible as analysed below.</w:t>
      </w:r>
    </w:p>
    <w:p w14:paraId="1B4506FD" w14:textId="78E1F11B" w:rsidR="00FD155E" w:rsidRPr="008561EE" w:rsidRDefault="00FD155E" w:rsidP="00AA75E3">
      <w:pPr>
        <w:numPr>
          <w:ilvl w:val="0"/>
          <w:numId w:val="26"/>
        </w:numPr>
        <w:overflowPunct/>
        <w:autoSpaceDE/>
        <w:autoSpaceDN/>
        <w:adjustRightInd/>
        <w:spacing w:after="0"/>
        <w:jc w:val="both"/>
        <w:textAlignment w:val="auto"/>
        <w:rPr>
          <w:rFonts w:ascii="Arial" w:hAnsi="Arial" w:cs="Arial"/>
          <w:lang w:eastAsia="zh-CN"/>
        </w:rPr>
      </w:pPr>
      <w:r w:rsidRPr="008561EE">
        <w:rPr>
          <w:rFonts w:ascii="Arial" w:hAnsi="Arial" w:cs="Arial"/>
          <w:lang w:eastAsia="zh-CN"/>
        </w:rPr>
        <w:t>For CFRA,</w:t>
      </w:r>
      <w:r w:rsidR="008561EE" w:rsidRPr="008561EE">
        <w:rPr>
          <w:rFonts w:ascii="Arial" w:hAnsi="Arial" w:cs="Arial"/>
          <w:lang w:eastAsia="zh-CN"/>
        </w:rPr>
        <w:t xml:space="preserve"> there is no MSG3/4 transmissions, thus </w:t>
      </w:r>
      <w:r w:rsidRPr="008561EE">
        <w:rPr>
          <w:rFonts w:ascii="Arial" w:hAnsi="Arial" w:cs="Arial"/>
          <w:lang w:eastAsia="zh-CN"/>
        </w:rPr>
        <w:t>TC-RNTI is not used</w:t>
      </w:r>
      <w:r w:rsidR="008561EE" w:rsidRPr="008561EE">
        <w:rPr>
          <w:rFonts w:ascii="Arial" w:hAnsi="Arial" w:cs="Arial"/>
          <w:lang w:eastAsia="zh-CN"/>
        </w:rPr>
        <w:t>.</w:t>
      </w:r>
    </w:p>
    <w:p w14:paraId="4229CB3C" w14:textId="77777777" w:rsidR="00FD155E" w:rsidRPr="008561EE" w:rsidRDefault="00FD155E" w:rsidP="00AA75E3">
      <w:pPr>
        <w:numPr>
          <w:ilvl w:val="0"/>
          <w:numId w:val="26"/>
        </w:numPr>
        <w:overflowPunct/>
        <w:autoSpaceDE/>
        <w:autoSpaceDN/>
        <w:adjustRightInd/>
        <w:spacing w:after="0"/>
        <w:jc w:val="both"/>
        <w:textAlignment w:val="auto"/>
        <w:rPr>
          <w:rFonts w:ascii="Arial" w:hAnsi="Arial" w:cs="Arial"/>
          <w:lang w:eastAsia="zh-CN"/>
        </w:rPr>
      </w:pPr>
      <w:r w:rsidRPr="008561EE">
        <w:rPr>
          <w:rFonts w:ascii="Arial" w:hAnsi="Arial" w:cs="Arial"/>
          <w:lang w:eastAsia="zh-CN"/>
        </w:rPr>
        <w:t>For CBRA</w:t>
      </w:r>
    </w:p>
    <w:p w14:paraId="5866A6E5" w14:textId="4727EA2D" w:rsidR="00FD155E" w:rsidRPr="008561EE" w:rsidRDefault="00FD155E" w:rsidP="00AA75E3">
      <w:pPr>
        <w:numPr>
          <w:ilvl w:val="1"/>
          <w:numId w:val="26"/>
        </w:numPr>
        <w:overflowPunct/>
        <w:autoSpaceDE/>
        <w:autoSpaceDN/>
        <w:adjustRightInd/>
        <w:spacing w:after="0"/>
        <w:jc w:val="both"/>
        <w:textAlignment w:val="auto"/>
        <w:rPr>
          <w:rFonts w:ascii="Arial" w:hAnsi="Arial" w:cs="Arial"/>
          <w:lang w:eastAsia="zh-CN"/>
        </w:rPr>
      </w:pPr>
      <w:r w:rsidRPr="008561EE">
        <w:rPr>
          <w:rFonts w:ascii="Arial" w:hAnsi="Arial" w:cs="Arial"/>
          <w:lang w:eastAsia="zh-CN"/>
        </w:rPr>
        <w:t xml:space="preserve">For initial access, UE does not have USS since NR USS is RRC configured (while LTE USS can be derived w/o RRC). </w:t>
      </w:r>
      <w:r w:rsidR="008561EE" w:rsidRPr="008561EE">
        <w:rPr>
          <w:rFonts w:ascii="Arial" w:hAnsi="Arial" w:cs="Arial"/>
          <w:lang w:eastAsia="zh-CN"/>
        </w:rPr>
        <w:t>M</w:t>
      </w:r>
      <w:r w:rsidRPr="008561EE">
        <w:rPr>
          <w:rFonts w:ascii="Arial" w:hAnsi="Arial" w:cs="Arial"/>
          <w:lang w:eastAsia="zh-CN"/>
        </w:rPr>
        <w:t>onitoring TC-RNTI in USS is not possible.</w:t>
      </w:r>
    </w:p>
    <w:p w14:paraId="342909D3" w14:textId="43C63CBB" w:rsidR="00FD155E" w:rsidRDefault="00FD155E" w:rsidP="00AA75E3">
      <w:pPr>
        <w:numPr>
          <w:ilvl w:val="1"/>
          <w:numId w:val="26"/>
        </w:numPr>
        <w:overflowPunct/>
        <w:autoSpaceDE/>
        <w:autoSpaceDN/>
        <w:adjustRightInd/>
        <w:spacing w:after="0"/>
        <w:jc w:val="both"/>
        <w:textAlignment w:val="auto"/>
        <w:rPr>
          <w:rFonts w:ascii="Arial" w:hAnsi="Arial" w:cs="Arial"/>
        </w:rPr>
      </w:pPr>
      <w:r w:rsidRPr="008561EE">
        <w:rPr>
          <w:rFonts w:ascii="Arial" w:hAnsi="Arial" w:cs="Arial"/>
          <w:lang w:eastAsia="zh-CN"/>
        </w:rPr>
        <w:t>For PDCCH ordered RA, C-RNTI is monitored for MSG4, and thus TC-RNTI is not used</w:t>
      </w:r>
      <w:r w:rsidR="001A68CD">
        <w:rPr>
          <w:rFonts w:ascii="Arial" w:hAnsi="Arial" w:cs="Arial"/>
          <w:lang w:eastAsia="zh-CN"/>
        </w:rPr>
        <w:t>.</w:t>
      </w:r>
    </w:p>
    <w:p w14:paraId="2714B6DD" w14:textId="64E90A67" w:rsidR="001A68CD" w:rsidRDefault="001A68CD" w:rsidP="00AA75E3">
      <w:pPr>
        <w:overflowPunct/>
        <w:autoSpaceDE/>
        <w:autoSpaceDN/>
        <w:adjustRightInd/>
        <w:spacing w:after="0"/>
        <w:jc w:val="both"/>
        <w:textAlignment w:val="auto"/>
        <w:rPr>
          <w:rFonts w:ascii="Arial" w:hAnsi="Arial" w:cs="Arial"/>
        </w:rPr>
      </w:pPr>
      <w:r>
        <w:rPr>
          <w:rFonts w:ascii="Arial" w:hAnsi="Arial" w:cs="Arial"/>
        </w:rPr>
        <w:t xml:space="preserve">Therefore, we propose that  </w:t>
      </w:r>
    </w:p>
    <w:p w14:paraId="5B4108EE" w14:textId="77777777" w:rsidR="001A68CD" w:rsidRDefault="001A68CD" w:rsidP="001A68CD">
      <w:pPr>
        <w:overflowPunct/>
        <w:autoSpaceDE/>
        <w:autoSpaceDN/>
        <w:adjustRightInd/>
        <w:spacing w:after="0"/>
        <w:jc w:val="both"/>
        <w:textAlignment w:val="auto"/>
        <w:rPr>
          <w:rFonts w:ascii="Arial" w:hAnsi="Arial" w:cs="Arial"/>
        </w:rPr>
      </w:pPr>
    </w:p>
    <w:p w14:paraId="28198A62" w14:textId="56693E17" w:rsidR="001A68CD" w:rsidRPr="00592655" w:rsidRDefault="00044C67" w:rsidP="00592655">
      <w:pPr>
        <w:pStyle w:val="Proposal"/>
      </w:pPr>
      <w:bookmarkStart w:id="1" w:name="_Toc513798492"/>
      <w:r>
        <w:rPr>
          <w:rFonts w:cs="Arial"/>
        </w:rPr>
        <w:t xml:space="preserve">In NR, </w:t>
      </w:r>
      <w:r w:rsidR="001A68CD">
        <w:rPr>
          <w:rFonts w:cs="Arial"/>
        </w:rPr>
        <w:t>TC-RNTI is not monitored in USS.</w:t>
      </w:r>
      <w:bookmarkEnd w:id="1"/>
    </w:p>
    <w:p w14:paraId="635ABC72" w14:textId="03819FE4" w:rsidR="00525EBA" w:rsidRDefault="003E6476" w:rsidP="005565C7">
      <w:pPr>
        <w:pStyle w:val="Heading2"/>
        <w:jc w:val="both"/>
      </w:pPr>
      <w:r>
        <w:t>2.2</w:t>
      </w:r>
      <w:r>
        <w:tab/>
      </w:r>
      <w:r w:rsidR="00592655">
        <w:t>Association of the RNTIs with DCI formats in USS</w:t>
      </w:r>
    </w:p>
    <w:p w14:paraId="2C507A00" w14:textId="67132A82" w:rsidR="000B71EB" w:rsidRPr="005565C7" w:rsidRDefault="00592655" w:rsidP="005565C7">
      <w:pPr>
        <w:jc w:val="both"/>
        <w:rPr>
          <w:rFonts w:ascii="Arial" w:hAnsi="Arial" w:cs="Arial"/>
        </w:rPr>
      </w:pPr>
      <w:r w:rsidRPr="005565C7">
        <w:rPr>
          <w:rFonts w:ascii="Arial" w:hAnsi="Arial" w:cs="Arial"/>
        </w:rPr>
        <w:t xml:space="preserve">In the </w:t>
      </w:r>
      <w:r w:rsidR="00207C8E" w:rsidRPr="005565C7">
        <w:rPr>
          <w:rFonts w:ascii="Arial" w:hAnsi="Arial" w:cs="Arial"/>
        </w:rPr>
        <w:t xml:space="preserve">agreement quoted in Section 2.1, it states that “Further discussion offline the association of the RNTIs with DCI formats.” </w:t>
      </w:r>
      <w:r w:rsidR="005565C7">
        <w:rPr>
          <w:rFonts w:ascii="Arial" w:hAnsi="Arial" w:cs="Arial"/>
        </w:rPr>
        <w:t xml:space="preserve">This part is also unclear in 38.331 RRC specification. We propose that in USS </w:t>
      </w:r>
      <w:r w:rsidR="005565C7" w:rsidRPr="005565C7">
        <w:rPr>
          <w:rFonts w:ascii="Arial" w:hAnsi="Arial" w:cs="Arial"/>
        </w:rPr>
        <w:t>the association of the RNTIs with DCI formats</w:t>
      </w:r>
      <w:r w:rsidR="005565C7">
        <w:rPr>
          <w:rFonts w:ascii="Arial" w:hAnsi="Arial" w:cs="Arial"/>
        </w:rPr>
        <w:t xml:space="preserve"> should be as follows.</w:t>
      </w:r>
    </w:p>
    <w:p w14:paraId="679391F9" w14:textId="2D366537" w:rsidR="00207C8E" w:rsidRPr="005565C7" w:rsidRDefault="00207C8E" w:rsidP="00207C8E">
      <w:pPr>
        <w:pStyle w:val="ListParagraph"/>
        <w:numPr>
          <w:ilvl w:val="0"/>
          <w:numId w:val="29"/>
        </w:numPr>
        <w:rPr>
          <w:rFonts w:ascii="Arial" w:hAnsi="Arial" w:cs="Arial"/>
          <w:sz w:val="20"/>
          <w:szCs w:val="20"/>
        </w:rPr>
      </w:pPr>
      <w:r w:rsidRPr="005565C7">
        <w:rPr>
          <w:rFonts w:ascii="Arial" w:hAnsi="Arial" w:cs="Arial"/>
          <w:sz w:val="20"/>
          <w:szCs w:val="20"/>
          <w:lang w:val="en-US"/>
        </w:rPr>
        <w:t>For C-RNTI, DCI formats to monitor should include DCI 0_0/1_0, DCI 0_1, and DCI 1_1.</w:t>
      </w:r>
    </w:p>
    <w:p w14:paraId="1AD5B2A5" w14:textId="1BC12760" w:rsidR="005565C7" w:rsidRPr="005565C7" w:rsidRDefault="005565C7" w:rsidP="005565C7">
      <w:pPr>
        <w:pStyle w:val="ListParagraph"/>
        <w:numPr>
          <w:ilvl w:val="0"/>
          <w:numId w:val="29"/>
        </w:numPr>
        <w:rPr>
          <w:rFonts w:ascii="Arial" w:hAnsi="Arial" w:cs="Arial"/>
          <w:sz w:val="20"/>
          <w:szCs w:val="20"/>
        </w:rPr>
      </w:pPr>
      <w:r w:rsidRPr="005565C7">
        <w:rPr>
          <w:rFonts w:ascii="Arial" w:hAnsi="Arial" w:cs="Arial"/>
          <w:sz w:val="20"/>
          <w:szCs w:val="20"/>
          <w:lang w:val="en-US"/>
        </w:rPr>
        <w:t>For TC-RNTI, it is not monitored in USS as proposed in the previous section.</w:t>
      </w:r>
    </w:p>
    <w:p w14:paraId="37CBDBA8" w14:textId="40DD3254" w:rsidR="00207C8E" w:rsidRPr="005565C7" w:rsidRDefault="00207C8E" w:rsidP="00207C8E">
      <w:pPr>
        <w:pStyle w:val="ListParagraph"/>
        <w:numPr>
          <w:ilvl w:val="0"/>
          <w:numId w:val="29"/>
        </w:numPr>
        <w:rPr>
          <w:rFonts w:ascii="Arial" w:hAnsi="Arial" w:cs="Arial"/>
          <w:sz w:val="20"/>
          <w:szCs w:val="20"/>
        </w:rPr>
      </w:pPr>
      <w:r w:rsidRPr="005565C7">
        <w:rPr>
          <w:rFonts w:ascii="Arial" w:hAnsi="Arial" w:cs="Arial"/>
          <w:sz w:val="20"/>
          <w:szCs w:val="20"/>
          <w:lang w:val="en-US"/>
        </w:rPr>
        <w:t xml:space="preserve">For CS-RNTI, </w:t>
      </w:r>
      <w:r w:rsidR="005565C7" w:rsidRPr="005565C7">
        <w:rPr>
          <w:rFonts w:ascii="Arial" w:hAnsi="Arial" w:cs="Arial"/>
          <w:sz w:val="20"/>
          <w:szCs w:val="20"/>
          <w:lang w:val="en-US"/>
        </w:rPr>
        <w:t>DCI formats to monitor should include DCI 0_0/1_0, DCI 0_1, and DCI 1_1.</w:t>
      </w:r>
    </w:p>
    <w:p w14:paraId="00E09484" w14:textId="71A0CEF1" w:rsidR="005565C7" w:rsidRPr="005565C7" w:rsidRDefault="005565C7" w:rsidP="00207C8E">
      <w:pPr>
        <w:pStyle w:val="ListParagraph"/>
        <w:numPr>
          <w:ilvl w:val="0"/>
          <w:numId w:val="29"/>
        </w:numPr>
        <w:rPr>
          <w:rFonts w:ascii="Arial" w:hAnsi="Arial" w:cs="Arial"/>
          <w:sz w:val="20"/>
          <w:szCs w:val="20"/>
        </w:rPr>
      </w:pPr>
      <w:r w:rsidRPr="005565C7">
        <w:rPr>
          <w:rFonts w:ascii="Arial" w:hAnsi="Arial" w:cs="Arial"/>
          <w:sz w:val="20"/>
          <w:szCs w:val="20"/>
          <w:lang w:val="en-US"/>
        </w:rPr>
        <w:t>For SP-CSI-RNTI, DCI formats to monitor should include DCI 0_1</w:t>
      </w:r>
    </w:p>
    <w:p w14:paraId="3C8A455D" w14:textId="745E083D" w:rsidR="00207C8E" w:rsidRPr="005565C7" w:rsidRDefault="00207C8E" w:rsidP="000B71EB">
      <w:pPr>
        <w:rPr>
          <w:rFonts w:ascii="Arial" w:hAnsi="Arial" w:cs="Arial"/>
        </w:rPr>
      </w:pPr>
    </w:p>
    <w:p w14:paraId="62EE7509" w14:textId="343A5103" w:rsidR="005565C7" w:rsidRPr="005565C7" w:rsidRDefault="005565C7" w:rsidP="005565C7">
      <w:pPr>
        <w:pStyle w:val="Proposal"/>
      </w:pPr>
      <w:bookmarkStart w:id="2" w:name="_Toc513798493"/>
      <w:r>
        <w:rPr>
          <w:rFonts w:cs="Arial"/>
        </w:rPr>
        <w:t xml:space="preserve">In in USS, </w:t>
      </w:r>
      <w:r w:rsidRPr="005565C7">
        <w:rPr>
          <w:rFonts w:cs="Arial"/>
        </w:rPr>
        <w:t>the association of the RNTIs with DCI formats</w:t>
      </w:r>
      <w:r>
        <w:rPr>
          <w:rFonts w:cs="Arial"/>
        </w:rPr>
        <w:t xml:space="preserve"> are as follows.</w:t>
      </w:r>
      <w:bookmarkEnd w:id="2"/>
    </w:p>
    <w:p w14:paraId="6629382C" w14:textId="77777777" w:rsidR="005565C7" w:rsidRPr="005565C7" w:rsidRDefault="005565C7" w:rsidP="005565C7">
      <w:pPr>
        <w:pStyle w:val="Proposal"/>
        <w:numPr>
          <w:ilvl w:val="0"/>
          <w:numId w:val="31"/>
        </w:numPr>
      </w:pPr>
      <w:bookmarkStart w:id="3" w:name="_Toc513798494"/>
      <w:r w:rsidRPr="005565C7">
        <w:rPr>
          <w:lang w:val="en-US"/>
        </w:rPr>
        <w:t>For C-RNTI, DCI formats to monitor should include DCI 0_0/1_0, DCI 0_1, and DCI 1_1.</w:t>
      </w:r>
      <w:bookmarkEnd w:id="3"/>
    </w:p>
    <w:p w14:paraId="565CD7E9" w14:textId="69B79923" w:rsidR="005565C7" w:rsidRPr="005565C7" w:rsidRDefault="005565C7" w:rsidP="005565C7">
      <w:pPr>
        <w:pStyle w:val="Proposal"/>
        <w:numPr>
          <w:ilvl w:val="0"/>
          <w:numId w:val="31"/>
        </w:numPr>
      </w:pPr>
      <w:bookmarkStart w:id="4" w:name="_Toc513798495"/>
      <w:r w:rsidRPr="005565C7">
        <w:rPr>
          <w:lang w:val="en-US"/>
        </w:rPr>
        <w:t>For TC-RNTI, it is not monitored in USS.</w:t>
      </w:r>
      <w:bookmarkEnd w:id="4"/>
    </w:p>
    <w:p w14:paraId="42D3DD03" w14:textId="77777777" w:rsidR="005565C7" w:rsidRPr="005565C7" w:rsidRDefault="005565C7" w:rsidP="005565C7">
      <w:pPr>
        <w:pStyle w:val="Proposal"/>
        <w:numPr>
          <w:ilvl w:val="0"/>
          <w:numId w:val="31"/>
        </w:numPr>
      </w:pPr>
      <w:bookmarkStart w:id="5" w:name="_Toc513798496"/>
      <w:r w:rsidRPr="005565C7">
        <w:rPr>
          <w:lang w:val="en-US"/>
        </w:rPr>
        <w:t>For CS-RNTI, DCI formats to monitor should include DCI 0_0/1_0, DCI 0_1, and DCI 1_1.</w:t>
      </w:r>
      <w:bookmarkEnd w:id="5"/>
    </w:p>
    <w:p w14:paraId="3C42B642" w14:textId="439FD275" w:rsidR="005565C7" w:rsidRPr="00A04F49" w:rsidRDefault="005565C7" w:rsidP="005565C7">
      <w:pPr>
        <w:pStyle w:val="Proposal"/>
        <w:numPr>
          <w:ilvl w:val="0"/>
          <w:numId w:val="31"/>
        </w:numPr>
      </w:pPr>
      <w:bookmarkStart w:id="6" w:name="_Toc513798497"/>
      <w:r w:rsidRPr="005565C7">
        <w:rPr>
          <w:lang w:val="en-US"/>
        </w:rPr>
        <w:t>For SP-CSI-RNTI, DCI formats to monitor should include DCI 0_1</w:t>
      </w:r>
      <w:bookmarkEnd w:id="6"/>
    </w:p>
    <w:p w14:paraId="0D2B5A1D" w14:textId="5C25A369" w:rsidR="00DD597E" w:rsidRDefault="00DD597E" w:rsidP="00DD597E">
      <w:pPr>
        <w:pStyle w:val="Heading2"/>
      </w:pPr>
      <w:r>
        <w:t>2.</w:t>
      </w:r>
      <w:r w:rsidR="008B6BD0">
        <w:t>3</w:t>
      </w:r>
      <w:r>
        <w:tab/>
      </w:r>
      <w:r w:rsidR="0072603B">
        <w:t>Mapping of PDCCH candidates in Case 2</w:t>
      </w:r>
    </w:p>
    <w:p w14:paraId="566F0877" w14:textId="3C47927E" w:rsidR="00207C8E" w:rsidRPr="005D4FDF" w:rsidRDefault="00DD597E" w:rsidP="008B6BD0">
      <w:pPr>
        <w:jc w:val="both"/>
        <w:rPr>
          <w:rFonts w:ascii="Arial" w:hAnsi="Arial" w:cs="Arial"/>
        </w:rPr>
      </w:pPr>
      <w:r w:rsidRPr="005D4FDF">
        <w:rPr>
          <w:rFonts w:ascii="Arial" w:hAnsi="Arial" w:cs="Arial"/>
          <w:lang w:eastAsia="x-none"/>
        </w:rPr>
        <w:t>In RAN1#92bis, the following work assumption was made. It represented a major</w:t>
      </w:r>
      <w:r w:rsidR="008B6BD0" w:rsidRPr="005D4FDF">
        <w:rPr>
          <w:rFonts w:ascii="Arial" w:hAnsi="Arial" w:cs="Arial"/>
          <w:lang w:eastAsia="x-none"/>
        </w:rPr>
        <w:t xml:space="preserve"> discussion</w:t>
      </w:r>
      <w:r w:rsidRPr="005D4FDF">
        <w:rPr>
          <w:rFonts w:ascii="Arial" w:hAnsi="Arial" w:cs="Arial"/>
          <w:lang w:eastAsia="x-none"/>
        </w:rPr>
        <w:t xml:space="preserve"> effort in RAN1#92bi</w:t>
      </w:r>
      <w:r w:rsidR="008B6BD0" w:rsidRPr="005D4FDF">
        <w:rPr>
          <w:rFonts w:ascii="Arial" w:hAnsi="Arial" w:cs="Arial"/>
          <w:lang w:eastAsia="x-none"/>
        </w:rPr>
        <w:t>s. The mapping rule for Case 2 is FFS.</w:t>
      </w:r>
    </w:p>
    <w:p w14:paraId="284EBC92" w14:textId="79D7B6B2" w:rsidR="00DD597E" w:rsidRPr="005D4FDF" w:rsidRDefault="0037674A" w:rsidP="000B71EB">
      <w:pPr>
        <w:rPr>
          <w:rFonts w:ascii="Arial" w:hAnsi="Arial" w:cs="Arial"/>
        </w:rPr>
      </w:pPr>
      <w:r>
        <w:rPr>
          <w:noProof/>
        </w:rPr>
        <mc:AlternateContent>
          <mc:Choice Requires="wps">
            <w:drawing>
              <wp:inline distT="0" distB="0" distL="0" distR="0" wp14:anchorId="6388B463" wp14:editId="67AC1BD5">
                <wp:extent cx="6120765" cy="1054343"/>
                <wp:effectExtent l="0" t="0" r="13335" b="10160"/>
                <wp:docPr id="10" name="Text Box 10"/>
                <wp:cNvGraphicFramePr/>
                <a:graphic xmlns:a="http://schemas.openxmlformats.org/drawingml/2006/main">
                  <a:graphicData uri="http://schemas.microsoft.com/office/word/2010/wordprocessingShape">
                    <wps:wsp>
                      <wps:cNvSpPr txBox="1"/>
                      <wps:spPr>
                        <a:xfrm>
                          <a:off x="0" y="0"/>
                          <a:ext cx="6120765" cy="1054343"/>
                        </a:xfrm>
                        <a:prstGeom prst="rect">
                          <a:avLst/>
                        </a:prstGeom>
                        <a:solidFill>
                          <a:schemeClr val="lt1"/>
                        </a:solidFill>
                        <a:ln w="6350">
                          <a:solidFill>
                            <a:prstClr val="black"/>
                          </a:solidFill>
                        </a:ln>
                      </wps:spPr>
                      <wps:txbx>
                        <w:txbxContent>
                          <w:p w14:paraId="64A5C7D2" w14:textId="77777777" w:rsidR="00CC6E94" w:rsidRPr="005D4FDF" w:rsidRDefault="00CC6E94" w:rsidP="0037674A">
                            <w:pPr>
                              <w:rPr>
                                <w:rFonts w:ascii="Arial" w:hAnsi="Arial" w:cs="Arial"/>
                                <w:highlight w:val="darkYellow"/>
                                <w:lang w:eastAsia="x-none"/>
                              </w:rPr>
                            </w:pPr>
                            <w:r w:rsidRPr="005D4FDF">
                              <w:rPr>
                                <w:rFonts w:ascii="Arial" w:hAnsi="Arial" w:cs="Arial"/>
                                <w:highlight w:val="darkYellow"/>
                                <w:lang w:eastAsia="x-none"/>
                              </w:rPr>
                              <w:t>Working assumption:</w:t>
                            </w:r>
                          </w:p>
                          <w:p w14:paraId="46EFB94D" w14:textId="77777777" w:rsidR="00CC6E94" w:rsidRPr="005D4FDF" w:rsidRDefault="00CC6E94" w:rsidP="0037674A">
                            <w:pPr>
                              <w:numPr>
                                <w:ilvl w:val="0"/>
                                <w:numId w:val="32"/>
                              </w:numPr>
                              <w:overflowPunct/>
                              <w:autoSpaceDE/>
                              <w:autoSpaceDN/>
                              <w:adjustRightInd/>
                              <w:spacing w:after="0"/>
                              <w:textAlignment w:val="auto"/>
                              <w:rPr>
                                <w:rFonts w:ascii="Arial" w:hAnsi="Arial" w:cs="Arial"/>
                                <w:lang w:val="en-US" w:eastAsia="x-none"/>
                              </w:rPr>
                            </w:pPr>
                            <w:r w:rsidRPr="005D4FDF">
                              <w:rPr>
                                <w:rFonts w:ascii="Arial" w:hAnsi="Arial" w:cs="Arial"/>
                                <w:lang w:val="en-US" w:eastAsia="x-none"/>
                              </w:rPr>
                              <w:t xml:space="preserve">At least for Case 1-1 and Case 1-2, map all candidates of USS  search-space-set with lower SS set ID before candidates of USS with higher ID </w:t>
                            </w:r>
                          </w:p>
                          <w:p w14:paraId="75A49C08" w14:textId="77777777" w:rsidR="00CC6E94" w:rsidRPr="005D4FDF" w:rsidRDefault="00CC6E94" w:rsidP="0037674A">
                            <w:pPr>
                              <w:numPr>
                                <w:ilvl w:val="1"/>
                                <w:numId w:val="32"/>
                              </w:numPr>
                              <w:overflowPunct/>
                              <w:autoSpaceDE/>
                              <w:autoSpaceDN/>
                              <w:adjustRightInd/>
                              <w:spacing w:after="0"/>
                              <w:textAlignment w:val="auto"/>
                              <w:rPr>
                                <w:rFonts w:ascii="Arial" w:hAnsi="Arial" w:cs="Arial"/>
                                <w:lang w:val="en-US" w:eastAsia="x-none"/>
                              </w:rPr>
                            </w:pPr>
                            <w:r w:rsidRPr="005D4FDF">
                              <w:rPr>
                                <w:rFonts w:ascii="Arial" w:hAnsi="Arial" w:cs="Arial"/>
                                <w:lang w:val="en-US" w:eastAsia="x-none"/>
                              </w:rPr>
                              <w:t>If all candidates in a SS set can’t be mapped, any candidates in the SS set and in any subsequent SS sets are dropped (not mapped)</w:t>
                            </w:r>
                          </w:p>
                          <w:p w14:paraId="0DE08840" w14:textId="0C2D6F8A" w:rsidR="00CC6E94" w:rsidRPr="0037674A" w:rsidRDefault="00CC6E94" w:rsidP="0037674A">
                            <w:pPr>
                              <w:numPr>
                                <w:ilvl w:val="0"/>
                                <w:numId w:val="32"/>
                              </w:numPr>
                              <w:overflowPunct/>
                              <w:autoSpaceDE/>
                              <w:autoSpaceDN/>
                              <w:adjustRightInd/>
                              <w:spacing w:after="0"/>
                              <w:textAlignment w:val="auto"/>
                              <w:rPr>
                                <w:rFonts w:ascii="Arial" w:hAnsi="Arial" w:cs="Arial"/>
                                <w:lang w:val="en-US" w:eastAsia="x-none"/>
                              </w:rPr>
                            </w:pPr>
                            <w:r w:rsidRPr="005D4FDF">
                              <w:rPr>
                                <w:rFonts w:ascii="Arial" w:hAnsi="Arial" w:cs="Arial"/>
                                <w:lang w:val="en-US" w:eastAsia="x-none"/>
                              </w:rPr>
                              <w:t xml:space="preserve">Case 2 FFS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6388B463" id="Text Box 10" o:spid="_x0000_s1027" type="#_x0000_t202" style="width:481.95pt;height:8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" fillcolor="white [3201]" strokeweight=".5pt">
                <v:textbox style="mso-fit-shape-to-text:t">
                  <w:txbxContent>
                    <w:p w14:paraId="64A5C7D2" w14:textId="77777777" w:rsidR="00CC6E94" w:rsidRPr="005D4FDF" w:rsidRDefault="00CC6E94" w:rsidP="0037674A">
                      <w:pPr>
                        <w:rPr>
                          <w:rFonts w:ascii="Arial" w:hAnsi="Arial" w:cs="Arial"/>
                          <w:highlight w:val="darkYellow"/>
                          <w:lang w:eastAsia="x-none"/>
                        </w:rPr>
                      </w:pPr>
                      <w:r w:rsidRPr="005D4FDF">
                        <w:rPr>
                          <w:rFonts w:ascii="Arial" w:hAnsi="Arial" w:cs="Arial"/>
                          <w:highlight w:val="darkYellow"/>
                          <w:lang w:eastAsia="x-none"/>
                        </w:rPr>
                        <w:t>Working assumption:</w:t>
                      </w:r>
                    </w:p>
                    <w:p w14:paraId="46EFB94D" w14:textId="77777777" w:rsidR="00CC6E94" w:rsidRPr="005D4FDF" w:rsidRDefault="00CC6E94" w:rsidP="0037674A">
                      <w:pPr>
                        <w:numPr>
                          <w:ilvl w:val="0"/>
                          <w:numId w:val="32"/>
                        </w:numPr>
                        <w:overflowPunct/>
                        <w:autoSpaceDE/>
                        <w:autoSpaceDN/>
                        <w:adjustRightInd/>
                        <w:spacing w:after="0"/>
                        <w:textAlignment w:val="auto"/>
                        <w:rPr>
                          <w:rFonts w:ascii="Arial" w:hAnsi="Arial" w:cs="Arial"/>
                          <w:lang w:val="en-US" w:eastAsia="x-none"/>
                        </w:rPr>
                      </w:pPr>
                      <w:r w:rsidRPr="005D4FDF">
                        <w:rPr>
                          <w:rFonts w:ascii="Arial" w:hAnsi="Arial" w:cs="Arial"/>
                          <w:lang w:val="en-US" w:eastAsia="x-none"/>
                        </w:rPr>
                        <w:t xml:space="preserve">At least for Case 1-1 and Case 1-2, map all candidates of USS  search-space-set with lower SS set ID before candidates of USS with higher ID </w:t>
                      </w:r>
                    </w:p>
                    <w:p w14:paraId="75A49C08" w14:textId="77777777" w:rsidR="00CC6E94" w:rsidRPr="005D4FDF" w:rsidRDefault="00CC6E94" w:rsidP="0037674A">
                      <w:pPr>
                        <w:numPr>
                          <w:ilvl w:val="1"/>
                          <w:numId w:val="32"/>
                        </w:numPr>
                        <w:overflowPunct/>
                        <w:autoSpaceDE/>
                        <w:autoSpaceDN/>
                        <w:adjustRightInd/>
                        <w:spacing w:after="0"/>
                        <w:textAlignment w:val="auto"/>
                        <w:rPr>
                          <w:rFonts w:ascii="Arial" w:hAnsi="Arial" w:cs="Arial"/>
                          <w:lang w:val="en-US" w:eastAsia="x-none"/>
                        </w:rPr>
                      </w:pPr>
                      <w:r w:rsidRPr="005D4FDF">
                        <w:rPr>
                          <w:rFonts w:ascii="Arial" w:hAnsi="Arial" w:cs="Arial"/>
                          <w:lang w:val="en-US" w:eastAsia="x-none"/>
                        </w:rPr>
                        <w:t>If all candidates in a SS set can’t be mapped, any candidates in the SS set and in any subsequent SS sets are dropped (not mapped)</w:t>
                      </w:r>
                    </w:p>
                    <w:p w14:paraId="0DE08840" w14:textId="0C2D6F8A" w:rsidR="00CC6E94" w:rsidRPr="0037674A" w:rsidRDefault="00CC6E94" w:rsidP="0037674A">
                      <w:pPr>
                        <w:numPr>
                          <w:ilvl w:val="0"/>
                          <w:numId w:val="32"/>
                        </w:numPr>
                        <w:overflowPunct/>
                        <w:autoSpaceDE/>
                        <w:autoSpaceDN/>
                        <w:adjustRightInd/>
                        <w:spacing w:after="0"/>
                        <w:textAlignment w:val="auto"/>
                        <w:rPr>
                          <w:rFonts w:ascii="Arial" w:hAnsi="Arial" w:cs="Arial"/>
                          <w:lang w:val="en-US" w:eastAsia="x-none"/>
                        </w:rPr>
                      </w:pPr>
                      <w:r w:rsidRPr="005D4FDF">
                        <w:rPr>
                          <w:rFonts w:ascii="Arial" w:hAnsi="Arial" w:cs="Arial"/>
                          <w:lang w:val="en-US" w:eastAsia="x-none"/>
                        </w:rPr>
                        <w:t xml:space="preserve">Case 2 FFS </w:t>
                      </w:r>
                    </w:p>
                  </w:txbxContent>
                </v:textbox>
                <w10:anchorlock/>
              </v:shape>
            </w:pict>
          </mc:Fallback>
        </mc:AlternateContent>
      </w:r>
    </w:p>
    <w:p w14:paraId="4D91AE83" w14:textId="05248F16" w:rsidR="005D4FDF" w:rsidRPr="005D4FDF" w:rsidRDefault="00D67741" w:rsidP="005D4FDF">
      <w:pPr>
        <w:jc w:val="both"/>
        <w:rPr>
          <w:rFonts w:ascii="Arial" w:hAnsi="Arial" w:cs="Arial"/>
        </w:rPr>
      </w:pPr>
      <w:r w:rsidRPr="005D4FDF">
        <w:rPr>
          <w:rFonts w:ascii="Arial" w:hAnsi="Arial" w:cs="Arial"/>
        </w:rPr>
        <w:t xml:space="preserve">Similar to Case 1-x, </w:t>
      </w:r>
      <w:r w:rsidR="000C7E89" w:rsidRPr="005D4FDF">
        <w:rPr>
          <w:rFonts w:ascii="Arial" w:hAnsi="Arial" w:cs="Arial"/>
        </w:rPr>
        <w:t xml:space="preserve">we can </w:t>
      </w:r>
      <w:r w:rsidR="000C7E89" w:rsidRPr="005D4FDF">
        <w:rPr>
          <w:rFonts w:ascii="Arial" w:hAnsi="Arial" w:cs="Arial"/>
          <w:lang w:val="en-US" w:eastAsia="x-none"/>
        </w:rPr>
        <w:t xml:space="preserve">map all candidates of USS search-space-set with lower SS set ID before candidates of USS with higher ID. If all candidates in a SS set cannot be mapped, we need to discuss how to treat </w:t>
      </w:r>
      <w:r w:rsidR="00DC7337" w:rsidRPr="005D4FDF">
        <w:rPr>
          <w:rFonts w:ascii="Arial" w:hAnsi="Arial" w:cs="Arial"/>
          <w:lang w:val="en-US" w:eastAsia="x-none"/>
        </w:rPr>
        <w:t xml:space="preserve">the </w:t>
      </w:r>
      <w:r w:rsidR="005D4FDF" w:rsidRPr="005D4FDF">
        <w:rPr>
          <w:rFonts w:ascii="Arial" w:hAnsi="Arial" w:cs="Arial"/>
        </w:rPr>
        <w:t xml:space="preserve">multiple monitoring occasions </w:t>
      </w:r>
      <w:r w:rsidR="002338B3">
        <w:rPr>
          <w:rFonts w:ascii="Arial" w:hAnsi="Arial" w:cs="Arial"/>
        </w:rPr>
        <w:t xml:space="preserve">that </w:t>
      </w:r>
      <w:r w:rsidR="005D4FDF" w:rsidRPr="005D4FDF">
        <w:rPr>
          <w:rFonts w:ascii="Arial" w:hAnsi="Arial" w:cs="Arial"/>
        </w:rPr>
        <w:t>exist in a slot in Case 2 (unlike in Case 1-x where there is at most one monitoring occasion in a slot). The</w:t>
      </w:r>
      <w:r w:rsidR="002338B3">
        <w:rPr>
          <w:rFonts w:ascii="Arial" w:hAnsi="Arial" w:cs="Arial"/>
        </w:rPr>
        <w:t xml:space="preserve"> following are</w:t>
      </w:r>
      <w:r w:rsidR="005D4FDF" w:rsidRPr="005D4FDF">
        <w:rPr>
          <w:rFonts w:ascii="Arial" w:hAnsi="Arial" w:cs="Arial"/>
        </w:rPr>
        <w:t xml:space="preserve"> 3 </w:t>
      </w:r>
      <w:r w:rsidR="002338B3">
        <w:rPr>
          <w:rFonts w:ascii="Arial" w:hAnsi="Arial" w:cs="Arial"/>
        </w:rPr>
        <w:t>alternatives listed</w:t>
      </w:r>
      <w:r w:rsidR="005D4FDF" w:rsidRPr="005D4FDF">
        <w:rPr>
          <w:rFonts w:ascii="Arial" w:hAnsi="Arial" w:cs="Arial"/>
        </w:rPr>
        <w:t xml:space="preserve"> in the order of implementation</w:t>
      </w:r>
      <w:r w:rsidR="002338B3">
        <w:rPr>
          <w:rFonts w:ascii="Arial" w:hAnsi="Arial" w:cs="Arial"/>
        </w:rPr>
        <w:t xml:space="preserve"> </w:t>
      </w:r>
      <w:r w:rsidR="005D4FDF" w:rsidRPr="005D4FDF">
        <w:rPr>
          <w:rFonts w:ascii="Arial" w:hAnsi="Arial" w:cs="Arial"/>
        </w:rPr>
        <w:t>complexity and performance.</w:t>
      </w:r>
    </w:p>
    <w:p w14:paraId="0D52C695" w14:textId="7B9239B7" w:rsidR="005D4FDF" w:rsidRPr="005D4FDF" w:rsidRDefault="005D4FDF" w:rsidP="005D4FDF">
      <w:pPr>
        <w:numPr>
          <w:ilvl w:val="0"/>
          <w:numId w:val="32"/>
        </w:numPr>
        <w:overflowPunct/>
        <w:autoSpaceDE/>
        <w:autoSpaceDN/>
        <w:adjustRightInd/>
        <w:spacing w:after="0"/>
        <w:textAlignment w:val="auto"/>
        <w:rPr>
          <w:rFonts w:ascii="Arial" w:hAnsi="Arial" w:cs="Arial"/>
          <w:lang w:val="en-US" w:eastAsia="x-none"/>
        </w:rPr>
      </w:pPr>
      <w:r w:rsidRPr="005D4FDF">
        <w:rPr>
          <w:rFonts w:ascii="Arial" w:hAnsi="Arial" w:cs="Arial"/>
          <w:b/>
          <w:lang w:val="en-US"/>
        </w:rPr>
        <w:t>Alternative 1:</w:t>
      </w:r>
      <w:r w:rsidRPr="005D4FDF">
        <w:rPr>
          <w:rFonts w:ascii="Arial" w:hAnsi="Arial" w:cs="Arial"/>
          <w:lang w:val="en-US"/>
        </w:rPr>
        <w:t xml:space="preserve"> </w:t>
      </w:r>
      <w:r w:rsidRPr="005D4FDF">
        <w:rPr>
          <w:rFonts w:ascii="Arial" w:hAnsi="Arial" w:cs="Arial"/>
          <w:lang w:val="en-US" w:eastAsia="x-none"/>
        </w:rPr>
        <w:t>If all candidates in a SS set can’t be mapped, any candidates in the SS set and in any subsequent SS sets are dropped (not mapped)</w:t>
      </w:r>
    </w:p>
    <w:p w14:paraId="616895F6" w14:textId="685829E2" w:rsidR="005D4FDF" w:rsidRPr="005D4FDF" w:rsidRDefault="005D4FDF" w:rsidP="005D4FDF">
      <w:pPr>
        <w:pStyle w:val="ListParagraph"/>
        <w:numPr>
          <w:ilvl w:val="0"/>
          <w:numId w:val="33"/>
        </w:numPr>
        <w:jc w:val="both"/>
        <w:rPr>
          <w:rFonts w:ascii="Arial" w:hAnsi="Arial" w:cs="Arial"/>
          <w:sz w:val="20"/>
          <w:szCs w:val="20"/>
        </w:rPr>
      </w:pPr>
      <w:r w:rsidRPr="005D4FDF">
        <w:rPr>
          <w:rFonts w:ascii="Arial" w:hAnsi="Arial" w:cs="Arial"/>
          <w:b/>
          <w:sz w:val="20"/>
          <w:szCs w:val="20"/>
          <w:lang w:val="en-US"/>
        </w:rPr>
        <w:t>Alternative 2:</w:t>
      </w:r>
      <w:r w:rsidRPr="005D4FDF">
        <w:rPr>
          <w:rFonts w:ascii="Arial" w:hAnsi="Arial" w:cs="Arial"/>
          <w:sz w:val="20"/>
          <w:szCs w:val="20"/>
          <w:lang w:val="en-US"/>
        </w:rPr>
        <w:t xml:space="preserve"> </w:t>
      </w:r>
      <w:r w:rsidRPr="005D4FDF">
        <w:rPr>
          <w:rFonts w:ascii="Arial" w:hAnsi="Arial" w:cs="Arial"/>
          <w:sz w:val="20"/>
          <w:szCs w:val="20"/>
          <w:lang w:val="en-US" w:eastAsia="x-none"/>
        </w:rPr>
        <w:t>If all candidates in a SS set can’t be mapped, map all candidates of the USS</w:t>
      </w:r>
      <w:r w:rsidR="00EE1DA8">
        <w:rPr>
          <w:rFonts w:ascii="Arial" w:hAnsi="Arial" w:cs="Arial"/>
          <w:sz w:val="20"/>
          <w:szCs w:val="20"/>
          <w:lang w:val="en-US" w:eastAsia="x-none"/>
        </w:rPr>
        <w:t xml:space="preserve"> associated</w:t>
      </w:r>
      <w:r w:rsidRPr="005D4FDF">
        <w:rPr>
          <w:rFonts w:ascii="Arial" w:hAnsi="Arial" w:cs="Arial"/>
          <w:sz w:val="20"/>
          <w:szCs w:val="20"/>
          <w:lang w:val="en-US" w:eastAsia="x-none"/>
        </w:rPr>
        <w:t xml:space="preserve"> with earlier monitoring occasion before candidates of the USS</w:t>
      </w:r>
      <w:r w:rsidR="00EE1DA8">
        <w:rPr>
          <w:rFonts w:ascii="Arial" w:hAnsi="Arial" w:cs="Arial"/>
          <w:sz w:val="20"/>
          <w:szCs w:val="20"/>
          <w:lang w:val="en-US" w:eastAsia="x-none"/>
        </w:rPr>
        <w:t xml:space="preserve"> associated</w:t>
      </w:r>
      <w:r w:rsidRPr="005D4FDF">
        <w:rPr>
          <w:rFonts w:ascii="Arial" w:hAnsi="Arial" w:cs="Arial"/>
          <w:sz w:val="20"/>
          <w:szCs w:val="20"/>
          <w:lang w:val="en-US" w:eastAsia="x-none"/>
        </w:rPr>
        <w:t xml:space="preserve"> with later monitoring occasion in a slot</w:t>
      </w:r>
    </w:p>
    <w:p w14:paraId="510F2A8E" w14:textId="1B9AEE83" w:rsidR="005D4FDF" w:rsidRPr="005D4FDF" w:rsidRDefault="005D4FDF" w:rsidP="005D4FDF">
      <w:pPr>
        <w:numPr>
          <w:ilvl w:val="1"/>
          <w:numId w:val="33"/>
        </w:numPr>
        <w:overflowPunct/>
        <w:autoSpaceDE/>
        <w:autoSpaceDN/>
        <w:adjustRightInd/>
        <w:spacing w:after="0"/>
        <w:textAlignment w:val="auto"/>
        <w:rPr>
          <w:rFonts w:ascii="Arial" w:hAnsi="Arial" w:cs="Arial"/>
          <w:lang w:val="en-US" w:eastAsia="x-none"/>
        </w:rPr>
      </w:pPr>
      <w:r w:rsidRPr="005D4FDF">
        <w:rPr>
          <w:rFonts w:ascii="Arial" w:hAnsi="Arial" w:cs="Arial"/>
          <w:lang w:val="en-US" w:eastAsia="x-none"/>
        </w:rPr>
        <w:t>If all candidates in a monitoring occasion in the SS set can’t be mapped, any candidates in the monitoring occasion of the SS set, in the later monitoring occasion(s) of the SS set, and in any subsequent SS sets are dropped (not mapped)</w:t>
      </w:r>
    </w:p>
    <w:p w14:paraId="55843CBD" w14:textId="07C2A333" w:rsidR="005D4FDF" w:rsidRPr="005D4FDF" w:rsidRDefault="005D4FDF" w:rsidP="005D4FDF">
      <w:pPr>
        <w:pStyle w:val="ListParagraph"/>
        <w:numPr>
          <w:ilvl w:val="0"/>
          <w:numId w:val="33"/>
        </w:numPr>
        <w:jc w:val="both"/>
        <w:rPr>
          <w:rFonts w:ascii="Arial" w:hAnsi="Arial" w:cs="Arial"/>
          <w:sz w:val="20"/>
          <w:szCs w:val="20"/>
        </w:rPr>
      </w:pPr>
      <w:r w:rsidRPr="005D4FDF">
        <w:rPr>
          <w:rFonts w:ascii="Arial" w:hAnsi="Arial" w:cs="Arial"/>
          <w:b/>
          <w:sz w:val="20"/>
          <w:szCs w:val="20"/>
          <w:lang w:val="en-US"/>
        </w:rPr>
        <w:t>Alternative 3:</w:t>
      </w:r>
      <w:r w:rsidRPr="005D4FDF">
        <w:rPr>
          <w:rFonts w:ascii="Arial" w:hAnsi="Arial" w:cs="Arial"/>
          <w:sz w:val="20"/>
          <w:szCs w:val="20"/>
          <w:lang w:val="en-US"/>
        </w:rPr>
        <w:t xml:space="preserve"> </w:t>
      </w:r>
      <w:r w:rsidRPr="005D4FDF">
        <w:rPr>
          <w:rFonts w:ascii="Arial" w:hAnsi="Arial" w:cs="Arial"/>
          <w:sz w:val="20"/>
          <w:szCs w:val="20"/>
          <w:lang w:val="en-US" w:eastAsia="x-none"/>
        </w:rPr>
        <w:t xml:space="preserve">If all candidates in a SS set can’t be mapped, proportionally map the candidates of the USS over monitoring </w:t>
      </w:r>
      <w:r w:rsidR="007D754C" w:rsidRPr="005D4FDF">
        <w:rPr>
          <w:rFonts w:ascii="Arial" w:hAnsi="Arial" w:cs="Arial"/>
          <w:sz w:val="20"/>
          <w:szCs w:val="20"/>
          <w:lang w:val="en-US" w:eastAsia="x-none"/>
        </w:rPr>
        <w:t>occasions</w:t>
      </w:r>
      <w:r w:rsidRPr="005D4FDF">
        <w:rPr>
          <w:rFonts w:ascii="Arial" w:hAnsi="Arial" w:cs="Arial"/>
          <w:sz w:val="20"/>
          <w:szCs w:val="20"/>
          <w:lang w:val="en-US" w:eastAsia="x-none"/>
        </w:rPr>
        <w:t xml:space="preserve"> in a slot</w:t>
      </w:r>
      <w:r w:rsidR="007D754C">
        <w:rPr>
          <w:rFonts w:ascii="Arial" w:hAnsi="Arial" w:cs="Arial"/>
          <w:sz w:val="20"/>
          <w:szCs w:val="20"/>
          <w:lang w:val="en-US" w:eastAsia="x-none"/>
        </w:rPr>
        <w:t xml:space="preserve"> to meet BD and CCE limit</w:t>
      </w:r>
    </w:p>
    <w:p w14:paraId="33A04035" w14:textId="4AB64884" w:rsidR="003A4929" w:rsidRDefault="005D4FDF" w:rsidP="000B71EB">
      <w:pPr>
        <w:numPr>
          <w:ilvl w:val="1"/>
          <w:numId w:val="33"/>
        </w:numPr>
        <w:overflowPunct/>
        <w:autoSpaceDE/>
        <w:autoSpaceDN/>
        <w:adjustRightInd/>
        <w:spacing w:after="0"/>
        <w:textAlignment w:val="auto"/>
        <w:rPr>
          <w:rFonts w:ascii="Arial" w:hAnsi="Arial" w:cs="Arial"/>
          <w:lang w:val="en-US" w:eastAsia="x-none"/>
        </w:rPr>
      </w:pPr>
      <w:r w:rsidRPr="005D4FDF">
        <w:rPr>
          <w:rFonts w:ascii="Arial" w:hAnsi="Arial" w:cs="Arial"/>
          <w:lang w:val="en-US" w:eastAsia="x-none"/>
        </w:rPr>
        <w:t>If all candidates in a SS set can’t be mapped, any candidates in any subsequent SS sets are dropped (not mapped)</w:t>
      </w:r>
    </w:p>
    <w:p w14:paraId="4E08BE07" w14:textId="77777777" w:rsidR="00AA75E3" w:rsidRPr="003A4929" w:rsidRDefault="00AA75E3" w:rsidP="00AA75E3">
      <w:pPr>
        <w:overflowPunct/>
        <w:autoSpaceDE/>
        <w:autoSpaceDN/>
        <w:adjustRightInd/>
        <w:spacing w:after="0"/>
        <w:ind w:left="1440"/>
        <w:textAlignment w:val="auto"/>
        <w:rPr>
          <w:rFonts w:ascii="Arial" w:hAnsi="Arial" w:cs="Arial"/>
          <w:lang w:val="en-US" w:eastAsia="x-none"/>
        </w:rPr>
      </w:pPr>
    </w:p>
    <w:p w14:paraId="5CDB820B" w14:textId="2F87619B" w:rsidR="00AA75E3" w:rsidRDefault="00AA75E3" w:rsidP="00AA75E3">
      <w:pPr>
        <w:jc w:val="both"/>
        <w:rPr>
          <w:rFonts w:ascii="Arial" w:hAnsi="Arial" w:cs="Arial"/>
          <w:lang w:val="en-US"/>
        </w:rPr>
      </w:pPr>
      <w:r w:rsidRPr="00AA75E3">
        <w:rPr>
          <w:rFonts w:ascii="Arial" w:hAnsi="Arial" w:cs="Arial"/>
          <w:lang w:val="en-US"/>
        </w:rPr>
        <w:t xml:space="preserve">From a technical point of view, Alternative 3 is preferred. Alternative 1 is a too relaxed design, while Alternative 2 improves the performance compared to Alternative 1. However, Alternative 2 has some disadvantages compared to Alternative 3. </w:t>
      </w:r>
      <w:r w:rsidRPr="00AA75E3">
        <w:rPr>
          <w:rFonts w:ascii="Arial" w:hAnsi="Arial" w:cs="Arial"/>
        </w:rPr>
        <w:t xml:space="preserve">An example of when alternative 2 could be problematic is if we have a URLLC-ish </w:t>
      </w:r>
      <w:r w:rsidRPr="00AA75E3">
        <w:rPr>
          <w:rFonts w:ascii="Arial" w:hAnsi="Arial" w:cs="Arial"/>
        </w:rPr>
        <w:lastRenderedPageBreak/>
        <w:t>configuration with one USS with 7 monitoring occasions per slot. The search space set is configured with the maximum possible number of BD</w:t>
      </w:r>
      <w:r w:rsidR="000B7D7D">
        <w:rPr>
          <w:rFonts w:ascii="Arial" w:hAnsi="Arial" w:cs="Arial"/>
        </w:rPr>
        <w:t>’</w:t>
      </w:r>
      <w:r w:rsidRPr="00AA75E3">
        <w:rPr>
          <w:rFonts w:ascii="Arial" w:hAnsi="Arial" w:cs="Arial"/>
        </w:rPr>
        <w:t>s = 44/7 ~= 6 per monitoring occasion. In addition</w:t>
      </w:r>
      <w:r>
        <w:rPr>
          <w:rFonts w:ascii="Arial" w:hAnsi="Arial" w:cs="Arial"/>
        </w:rPr>
        <w:t>,</w:t>
      </w:r>
      <w:r w:rsidRPr="00AA75E3">
        <w:rPr>
          <w:rFonts w:ascii="Arial" w:hAnsi="Arial" w:cs="Arial"/>
        </w:rPr>
        <w:t xml:space="preserve"> there are CSS</w:t>
      </w:r>
      <w:r>
        <w:rPr>
          <w:rFonts w:ascii="Arial" w:hAnsi="Arial" w:cs="Arial"/>
        </w:rPr>
        <w:t>’s</w:t>
      </w:r>
      <w:r w:rsidRPr="00AA75E3">
        <w:rPr>
          <w:rFonts w:ascii="Arial" w:hAnsi="Arial" w:cs="Arial"/>
        </w:rPr>
        <w:t xml:space="preserve"> that have to be monitored in some slots. When this happens e.g. 6 BD</w:t>
      </w:r>
      <w:r w:rsidR="000B7D7D">
        <w:rPr>
          <w:rFonts w:ascii="Arial" w:hAnsi="Arial" w:cs="Arial"/>
        </w:rPr>
        <w:t>’s</w:t>
      </w:r>
      <w:r w:rsidRPr="00AA75E3">
        <w:rPr>
          <w:rFonts w:ascii="Arial" w:hAnsi="Arial" w:cs="Arial"/>
        </w:rPr>
        <w:t xml:space="preserve"> will be reserved for CSS. The remaining 38 will then be used for the USS. For the last monitoring occasion in the slot there will not be enough BDs, so it will be dropped. In effect, the guaranteed latency is increased by 2 OS</w:t>
      </w:r>
      <w:r w:rsidR="001D7D99">
        <w:rPr>
          <w:rFonts w:ascii="Arial" w:hAnsi="Arial" w:cs="Arial"/>
        </w:rPr>
        <w:t>’s</w:t>
      </w:r>
      <w:r w:rsidRPr="00AA75E3">
        <w:rPr>
          <w:rFonts w:ascii="Arial" w:hAnsi="Arial" w:cs="Arial"/>
        </w:rPr>
        <w:t xml:space="preserve">. To avoid this the USS must be configured with 5 BD per monitoring occasion instead of 6. Thus, most of the time the BD budget will be </w:t>
      </w:r>
      <w:r w:rsidR="001D7D99" w:rsidRPr="00AA75E3">
        <w:rPr>
          <w:rFonts w:ascii="Arial" w:hAnsi="Arial" w:cs="Arial"/>
        </w:rPr>
        <w:t>under-utilized,</w:t>
      </w:r>
      <w:r w:rsidRPr="00AA75E3">
        <w:rPr>
          <w:rFonts w:ascii="Arial" w:hAnsi="Arial" w:cs="Arial"/>
        </w:rPr>
        <w:t xml:space="preserve"> and blocking will be increased.</w:t>
      </w:r>
      <w:r w:rsidRPr="00AA75E3">
        <w:rPr>
          <w:rFonts w:ascii="Arial" w:hAnsi="Arial" w:cs="Arial"/>
          <w:lang w:val="en-US"/>
        </w:rPr>
        <w:t xml:space="preserve">  </w:t>
      </w:r>
    </w:p>
    <w:p w14:paraId="77B84BE6" w14:textId="60D14E14" w:rsidR="001D7D99" w:rsidRPr="00AA75E3" w:rsidRDefault="001D7D99" w:rsidP="00AA75E3">
      <w:pPr>
        <w:jc w:val="both"/>
        <w:rPr>
          <w:rFonts w:ascii="Arial" w:hAnsi="Arial" w:cs="Arial"/>
          <w:lang w:val="en-US"/>
        </w:rPr>
      </w:pPr>
      <w:r>
        <w:rPr>
          <w:rFonts w:ascii="Arial" w:hAnsi="Arial" w:cs="Arial"/>
          <w:lang w:val="en-US"/>
        </w:rPr>
        <w:t xml:space="preserve">It is understood that there might be difficulties in UE implementation for Alternative 3. Considering RAN1#93 is the last meeting in Release 15, we could accept Alternative 2 in Release 15 as a compromise. </w:t>
      </w:r>
    </w:p>
    <w:p w14:paraId="7FE1CA27" w14:textId="569987A9" w:rsidR="003A4929" w:rsidRPr="008D5229" w:rsidRDefault="003A4929" w:rsidP="003A4929">
      <w:pPr>
        <w:pStyle w:val="Proposal"/>
      </w:pPr>
      <w:bookmarkStart w:id="7" w:name="_Toc513798498"/>
      <w:r>
        <w:rPr>
          <w:rFonts w:cs="Arial"/>
        </w:rPr>
        <w:t xml:space="preserve">For Case 2, </w:t>
      </w:r>
      <w:r w:rsidRPr="005D4FDF">
        <w:rPr>
          <w:rFonts w:cs="Arial"/>
          <w:lang w:val="en-US" w:eastAsia="x-none"/>
        </w:rPr>
        <w:t>map all candidates of US</w:t>
      </w:r>
      <w:r>
        <w:rPr>
          <w:rFonts w:cs="Arial"/>
          <w:lang w:val="en-US" w:eastAsia="x-none"/>
        </w:rPr>
        <w:t>S</w:t>
      </w:r>
      <w:r w:rsidRPr="005D4FDF">
        <w:rPr>
          <w:rFonts w:cs="Arial"/>
          <w:lang w:val="en-US" w:eastAsia="x-none"/>
        </w:rPr>
        <w:t xml:space="preserve"> search-space-set with lower SS set ID before candidates of USS with higher ID</w:t>
      </w:r>
      <w:bookmarkEnd w:id="7"/>
    </w:p>
    <w:p w14:paraId="69C3BF7D" w14:textId="0CE94DB5" w:rsidR="003A4929" w:rsidRPr="003A4929" w:rsidRDefault="008D5229" w:rsidP="008D5229">
      <w:pPr>
        <w:pStyle w:val="Proposal"/>
      </w:pPr>
      <w:bookmarkStart w:id="8" w:name="_Toc513798499"/>
      <w:r>
        <w:rPr>
          <w:rFonts w:cs="Arial"/>
        </w:rPr>
        <w:t xml:space="preserve">For Case 2, </w:t>
      </w:r>
      <w:r>
        <w:t>i</w:t>
      </w:r>
      <w:r w:rsidR="003A4929" w:rsidRPr="003A4929">
        <w:rPr>
          <w:lang w:val="en-US"/>
        </w:rPr>
        <w:t xml:space="preserve">f all candidates in a SS set can’t be mapped, map all candidates of the USS </w:t>
      </w:r>
      <w:r w:rsidR="00EE1DA8">
        <w:rPr>
          <w:lang w:val="en-US"/>
        </w:rPr>
        <w:t xml:space="preserve">associated </w:t>
      </w:r>
      <w:r w:rsidR="003A4929" w:rsidRPr="003A4929">
        <w:rPr>
          <w:lang w:val="en-US"/>
        </w:rPr>
        <w:t xml:space="preserve">with earlier monitoring occasion before candidates of the USS </w:t>
      </w:r>
      <w:r w:rsidR="00EE1DA8">
        <w:rPr>
          <w:lang w:val="en-US"/>
        </w:rPr>
        <w:t xml:space="preserve">associated </w:t>
      </w:r>
      <w:r w:rsidR="003A4929" w:rsidRPr="003A4929">
        <w:rPr>
          <w:lang w:val="en-US"/>
        </w:rPr>
        <w:t>with later monitoring occasion in a slot</w:t>
      </w:r>
      <w:bookmarkEnd w:id="8"/>
    </w:p>
    <w:p w14:paraId="5DE4E10A" w14:textId="7CC6A4CA" w:rsidR="003A4929" w:rsidRPr="003A4929" w:rsidRDefault="003A4929" w:rsidP="008D5229">
      <w:pPr>
        <w:pStyle w:val="Proposal"/>
        <w:numPr>
          <w:ilvl w:val="0"/>
          <w:numId w:val="35"/>
        </w:numPr>
      </w:pPr>
      <w:bookmarkStart w:id="9" w:name="_Toc513798500"/>
      <w:r w:rsidRPr="003A4929">
        <w:rPr>
          <w:rFonts w:cs="Arial"/>
          <w:lang w:val="en-US" w:eastAsia="x-none"/>
        </w:rPr>
        <w:t>If all candidates in a monitoring occasion in the SS set can’t be mapped, any candidates in the monitoring occasion of the SS set, in the later monitoring occasion(s) of the SS set, and in any subsequent SS sets are dropped (not mapped)</w:t>
      </w:r>
      <w:bookmarkEnd w:id="9"/>
    </w:p>
    <w:p w14:paraId="280B51F2" w14:textId="6BB07FF5" w:rsidR="00592655" w:rsidRDefault="00592655" w:rsidP="00592655">
      <w:pPr>
        <w:pStyle w:val="Heading2"/>
      </w:pPr>
      <w:r>
        <w:t>2.</w:t>
      </w:r>
      <w:r w:rsidR="008B6BD0">
        <w:t>4</w:t>
      </w:r>
      <w:r>
        <w:tab/>
        <w:t>CORESET/SS for beam failure recovery</w:t>
      </w:r>
    </w:p>
    <w:p w14:paraId="7643EBD3" w14:textId="091654C4" w:rsidR="00715EB1" w:rsidRDefault="00715EB1" w:rsidP="00715EB1">
      <w:pPr>
        <w:pStyle w:val="BodyText"/>
      </w:pPr>
      <w:r>
        <w:t xml:space="preserve">Monitoring of DL control channel is described in section 10 of </w:t>
      </w:r>
      <w:r>
        <w:fldChar w:fldCharType="begin"/>
      </w:r>
      <w:r>
        <w:instrText xml:space="preserve"> REF _Ref510814820 \r \h </w:instrText>
      </w:r>
      <w:r>
        <w:fldChar w:fldCharType="separate"/>
      </w:r>
      <w:r w:rsidR="00055C7C">
        <w:t>[1]</w:t>
      </w:r>
      <w:r>
        <w:fldChar w:fldCharType="end"/>
      </w:r>
      <w:r>
        <w:t>. The UE is configured to monitor a set of PDCCH candidates, defined in terms of PDCCH search space sets. Each PDCCH search space is described by a set of parameters. One of the parameters describing the search space is the control resource set (CORESET). The framework for control channel monitoring provides large flexibility in configuring and defining search spaces, to avoid control channel limitations that are known to exist in LTE.</w:t>
      </w:r>
    </w:p>
    <w:p w14:paraId="26BAFBFC" w14:textId="77777777" w:rsidR="00715EB1" w:rsidRDefault="00715EB1" w:rsidP="00715EB1">
      <w:pPr>
        <w:pStyle w:val="BodyText"/>
      </w:pPr>
      <w:r>
        <w:t xml:space="preserve">In NR, a maximum of 3 CORESETs can be defined per BWP per cell across all search spaces. Also, the minimum UE capability is CORESET #0 and one additional UE-specific CORESET. Clearly, the number of CORESETs is a very limited resource. The flexibility of the control channel configurations is to a large extent limited by the number of CORESETs. Hence, it is vital not to introduce limitation in control channel definitions or forbid certain parameter settings. </w:t>
      </w:r>
    </w:p>
    <w:p w14:paraId="6E61AF9C" w14:textId="77777777" w:rsidR="00715EB1" w:rsidRDefault="00715EB1" w:rsidP="00715EB1">
      <w:pPr>
        <w:pStyle w:val="BodyText"/>
      </w:pPr>
      <w:r>
        <w:t xml:space="preserve">Multiple CORESETs are also complicated for the UE: in particular, each CORESET may have a different </w:t>
      </w:r>
      <w:r w:rsidRPr="00EA26B0">
        <w:rPr>
          <w:i/>
        </w:rPr>
        <w:t>pdcch-DMRS-ScramblingId</w:t>
      </w:r>
      <w:r>
        <w:rPr>
          <w:i/>
        </w:rPr>
        <w:t xml:space="preserve">, </w:t>
      </w:r>
      <w:r>
        <w:t xml:space="preserve">i.e., the UE will have to perform separate PDCCH channel estimation for different CORESETs. </w:t>
      </w:r>
    </w:p>
    <w:p w14:paraId="349AF54D" w14:textId="04CF4A0E" w:rsidR="00715EB1" w:rsidRDefault="00715EB1" w:rsidP="00715EB1">
      <w:pPr>
        <w:pStyle w:val="BodyText"/>
      </w:pPr>
      <w:r>
        <w:t xml:space="preserve">Both these facts point to that it is crucial to be able to use the CORESETs as efficiently as possible. However, the latest endorsed version of 38.213 </w:t>
      </w:r>
      <w:r>
        <w:fldChar w:fldCharType="begin"/>
      </w:r>
      <w:r>
        <w:instrText xml:space="preserve"> REF _Ref513453939 \r \h </w:instrText>
      </w:r>
      <w:r>
        <w:fldChar w:fldCharType="separate"/>
      </w:r>
      <w:r w:rsidR="00055C7C">
        <w:t>[2]</w:t>
      </w:r>
      <w:r>
        <w:fldChar w:fldCharType="end"/>
      </w:r>
      <w:r>
        <w:t>, two such limitations have been introduced:</w:t>
      </w:r>
    </w:p>
    <w:p w14:paraId="37C147BE" w14:textId="77777777" w:rsidR="00715EB1" w:rsidRDefault="00715EB1" w:rsidP="00715EB1">
      <w:pPr>
        <w:pStyle w:val="BodyText"/>
      </w:pPr>
      <w:r>
        <w:rPr>
          <w:noProof/>
        </w:rPr>
        <mc:AlternateContent>
          <mc:Choice Requires="wps">
            <w:drawing>
              <wp:inline distT="0" distB="0" distL="0" distR="0" wp14:anchorId="0F2D4C0D" wp14:editId="57CB3576">
                <wp:extent cx="6134100" cy="733425"/>
                <wp:effectExtent l="0" t="0" r="19050" b="10160"/>
                <wp:docPr id="1" name="Text Box 1"/>
                <wp:cNvGraphicFramePr/>
                <a:graphic xmlns:a="http://schemas.openxmlformats.org/drawingml/2006/main">
                  <a:graphicData uri="http://schemas.microsoft.com/office/word/2010/wordprocessingShape">
                    <wps:wsp>
                      <wps:cNvSpPr txBox="1"/>
                      <wps:spPr>
                        <a:xfrm>
                          <a:off x="0" y="0"/>
                          <a:ext cx="6134100" cy="733425"/>
                        </a:xfrm>
                        <a:prstGeom prst="rect">
                          <a:avLst/>
                        </a:prstGeom>
                        <a:solidFill>
                          <a:schemeClr val="lt1"/>
                        </a:solidFill>
                        <a:ln w="6350">
                          <a:solidFill>
                            <a:prstClr val="black"/>
                          </a:solidFill>
                        </a:ln>
                      </wps:spPr>
                      <wps:txbx>
                        <w:txbxContent>
                          <w:p w14:paraId="4F550909" w14:textId="77777777" w:rsidR="00CC6E94" w:rsidRDefault="00CC6E94" w:rsidP="00715EB1">
                            <w:r>
                              <w:t>Excerpt from [2], section 6:</w:t>
                            </w:r>
                          </w:p>
                          <w:p w14:paraId="0C488DB1" w14:textId="77777777" w:rsidR="00CC6E94" w:rsidRPr="00816104" w:rsidRDefault="00CC6E94" w:rsidP="00715EB1">
                            <w:r>
                              <w:t>A UE is provided with a control resource set</w:t>
                            </w:r>
                            <w:r>
                              <w:rPr>
                                <w:iCs/>
                              </w:rPr>
                              <w:t xml:space="preserve"> </w:t>
                            </w:r>
                            <w:r>
                              <w:t xml:space="preserve">by higher layer parameter </w:t>
                            </w:r>
                            <w:r>
                              <w:rPr>
                                <w:i/>
                              </w:rPr>
                              <w:t>recoveryControlResourceSetId</w:t>
                            </w:r>
                            <w:r>
                              <w:t xml:space="preserve"> and with an associated search space set provided by higher layer parameter</w:t>
                            </w:r>
                            <w:r>
                              <w:rPr>
                                <w:i/>
                              </w:rPr>
                              <w:t xml:space="preserve"> recoverySearchSpaceId,</w:t>
                            </w:r>
                            <w:r>
                              <w:t xml:space="preserve"> as described in Subclause 10.1, for monitoring PDCCH in the control resource set. The UE does not expect to be provided another search space set for monitoring PDCCH in the control resource set provided by </w:t>
                            </w:r>
                            <w:r>
                              <w:rPr>
                                <w:i/>
                              </w:rPr>
                              <w:t>recoveryControlResourceSetId</w:t>
                            </w:r>
                            <w: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0F2D4C0D" id="Text Box 1" o:spid="_x0000_s1028" type="#_x0000_t202" style="width:483pt;height:57.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" fillcolor="white [3201]" strokeweight=".5pt">
                <v:textbox style="mso-fit-shape-to-text:t">
                  <w:txbxContent>
                    <w:p w14:paraId="4F550909" w14:textId="77777777" w:rsidR="00CC6E94" w:rsidRDefault="00CC6E94" w:rsidP="00715EB1">
                      <w:r>
                        <w:t>Excerpt from [2], section 6:</w:t>
                      </w:r>
                    </w:p>
                    <w:p w14:paraId="0C488DB1" w14:textId="77777777" w:rsidR="00CC6E94" w:rsidRPr="00816104" w:rsidRDefault="00CC6E94" w:rsidP="00715EB1">
                      <w:r>
                        <w:t>A UE is provided with a control resource set</w:t>
                      </w:r>
                      <w:r>
                        <w:rPr>
                          <w:iCs/>
                        </w:rPr>
                        <w:t xml:space="preserve"> </w:t>
                      </w:r>
                      <w:r>
                        <w:t xml:space="preserve">by higher layer parameter </w:t>
                      </w:r>
                      <w:r>
                        <w:rPr>
                          <w:i/>
                        </w:rPr>
                        <w:t>recoveryControlResourceSetId</w:t>
                      </w:r>
                      <w:r>
                        <w:t xml:space="preserve"> and with an associated search space set provided by higher layer parameter</w:t>
                      </w:r>
                      <w:r>
                        <w:rPr>
                          <w:i/>
                        </w:rPr>
                        <w:t xml:space="preserve"> recoverySearchSpaceId,</w:t>
                      </w:r>
                      <w:r>
                        <w:t xml:space="preserve"> as described in Subclause 10.1, for monitoring PDCCH in the control resource set. The UE does not expect to be provided another search space set for monitoring PDCCH in the control resource set provided by </w:t>
                      </w:r>
                      <w:r>
                        <w:rPr>
                          <w:i/>
                        </w:rPr>
                        <w:t>recoveryControlResourceSetId</w:t>
                      </w:r>
                      <w:r>
                        <w:t>.</w:t>
                      </w:r>
                    </w:p>
                  </w:txbxContent>
                </v:textbox>
                <w10:anchorlock/>
              </v:shape>
            </w:pict>
          </mc:Fallback>
        </mc:AlternateContent>
      </w:r>
    </w:p>
    <w:p w14:paraId="0CEA036B" w14:textId="77777777" w:rsidR="00715EB1" w:rsidRDefault="00715EB1" w:rsidP="00715EB1">
      <w:pPr>
        <w:pStyle w:val="BodyText"/>
      </w:pPr>
      <w:r>
        <w:t xml:space="preserve">The last sentence in the excerpt states that the </w:t>
      </w:r>
      <w:r>
        <w:rPr>
          <w:i/>
        </w:rPr>
        <w:t xml:space="preserve">recoveryControlResourceSetId </w:t>
      </w:r>
      <w:r>
        <w:t>cannot be used in another search space definition. This limitation was originally introduced to make it possible for the UE to identify a search space for the beam recovery request response from a configured CORESET. Now, this restriction is unnecessary, since the RRC specification includes the search space of the response as an explicit parameter. The only thing that the text in the excerpt does is to introduce a restriction in the control channel configuration, which is now completely unnecessary. Hence, we propose</w:t>
      </w:r>
    </w:p>
    <w:p w14:paraId="0891C69D" w14:textId="77777777" w:rsidR="00715EB1" w:rsidRDefault="00715EB1" w:rsidP="00715EB1">
      <w:pPr>
        <w:pStyle w:val="Proposal"/>
      </w:pPr>
      <w:bookmarkStart w:id="10" w:name="_Toc513460066"/>
      <w:bookmarkStart w:id="11" w:name="_Toc513798501"/>
      <w:r>
        <w:t xml:space="preserve">Remove the sentence “The UE does not expect to be provided another search space set for monitoring PDCCH in the control resource set provided by </w:t>
      </w:r>
      <w:r>
        <w:rPr>
          <w:i/>
        </w:rPr>
        <w:t>recoveryControlResourceSetId</w:t>
      </w:r>
      <w:r>
        <w:t>.” from 38.213.</w:t>
      </w:r>
      <w:bookmarkEnd w:id="10"/>
      <w:bookmarkEnd w:id="11"/>
    </w:p>
    <w:p w14:paraId="5B7D24FD" w14:textId="17EEDB9A" w:rsidR="00715EB1" w:rsidRDefault="00715EB1" w:rsidP="00715EB1">
      <w:pPr>
        <w:pStyle w:val="BodyText"/>
      </w:pPr>
      <w:r>
        <w:t xml:space="preserve">Furthermore, the last sentence in section 6 of </w:t>
      </w:r>
      <w:r>
        <w:fldChar w:fldCharType="begin"/>
      </w:r>
      <w:r>
        <w:instrText xml:space="preserve"> REF _Ref513453939 \r \h </w:instrText>
      </w:r>
      <w:r>
        <w:fldChar w:fldCharType="separate"/>
      </w:r>
      <w:r w:rsidR="00055C7C">
        <w:t>[2]</w:t>
      </w:r>
      <w:r>
        <w:fldChar w:fldCharType="end"/>
      </w:r>
      <w:r>
        <w:t xml:space="preserve"> states</w:t>
      </w:r>
    </w:p>
    <w:p w14:paraId="6B00E156" w14:textId="77777777" w:rsidR="00715EB1" w:rsidRDefault="00715EB1" w:rsidP="00715EB1">
      <w:pPr>
        <w:pStyle w:val="BodyText"/>
      </w:pPr>
      <w:r>
        <w:rPr>
          <w:noProof/>
        </w:rPr>
        <w:lastRenderedPageBreak/>
        <mc:AlternateContent>
          <mc:Choice Requires="wps">
            <w:drawing>
              <wp:inline distT="0" distB="0" distL="0" distR="0" wp14:anchorId="29CEC630" wp14:editId="7C95DC80">
                <wp:extent cx="6120765" cy="790575"/>
                <wp:effectExtent l="0" t="0" r="13335" b="22860"/>
                <wp:docPr id="3" name="Text Box 3"/>
                <wp:cNvGraphicFramePr/>
                <a:graphic xmlns:a="http://schemas.openxmlformats.org/drawingml/2006/main">
                  <a:graphicData uri="http://schemas.microsoft.com/office/word/2010/wordprocessingShape">
                    <wps:wsp>
                      <wps:cNvSpPr txBox="1"/>
                      <wps:spPr>
                        <a:xfrm>
                          <a:off x="0" y="0"/>
                          <a:ext cx="6120765" cy="790575"/>
                        </a:xfrm>
                        <a:prstGeom prst="rect">
                          <a:avLst/>
                        </a:prstGeom>
                        <a:solidFill>
                          <a:schemeClr val="lt1"/>
                        </a:solidFill>
                        <a:ln w="6350">
                          <a:solidFill>
                            <a:prstClr val="black"/>
                          </a:solidFill>
                        </a:ln>
                      </wps:spPr>
                      <wps:txbx>
                        <w:txbxContent>
                          <w:p w14:paraId="3382A75F" w14:textId="77777777" w:rsidR="00CC6E94" w:rsidRDefault="00CC6E94" w:rsidP="00715EB1">
                            <w:r>
                              <w:rPr>
                                <w:iCs/>
                              </w:rPr>
                              <w:t xml:space="preserve">Unless the UE transmitted PRACH in response to </w:t>
                            </w:r>
                            <w:r>
                              <w:rPr>
                                <w:i/>
                              </w:rPr>
                              <w:t>Beam-failure-recovery-request-RACH-Resource</w:t>
                            </w:r>
                            <w:r>
                              <w:t>,</w:t>
                            </w:r>
                            <w:r>
                              <w:rPr>
                                <w:iCs/>
                              </w:rPr>
                              <w:t xml:space="preserve"> the UE is not expected to monitor PDCCH candidates in the control resource set provided by </w:t>
                            </w:r>
                            <w:r>
                              <w:rPr>
                                <w:i/>
                              </w:rPr>
                              <w:t>recoveryControlResourceSetId</w:t>
                            </w:r>
                            <w:r>
                              <w:rPr>
                                <w:iCs/>
                              </w:rPr>
                              <w:t xml:space="preserve"> after the UE receives a higher layer parameter </w:t>
                            </w:r>
                            <w:r>
                              <w:rPr>
                                <w:i/>
                              </w:rPr>
                              <w:t>ControlResourceSet</w:t>
                            </w:r>
                            <w:r>
                              <w:t xml:space="preserve"> or after the UE receives a MAC CE </w:t>
                            </w:r>
                            <w:r>
                              <w:rPr>
                                <w:rFonts w:eastAsia="Malgun Gothic"/>
                              </w:rPr>
                              <w:t>activation for a TCI state</w:t>
                            </w:r>
                            <w: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9CEC630" id="Text Box 3" o:spid="_x0000_s1029" type="#_x0000_t202" style="width:481.95pt;height:62.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" fillcolor="white [3201]" strokeweight=".5pt">
                <v:textbox style="mso-fit-shape-to-text:t">
                  <w:txbxContent>
                    <w:p w14:paraId="3382A75F" w14:textId="77777777" w:rsidR="00CC6E94" w:rsidRDefault="00CC6E94" w:rsidP="00715EB1">
                      <w:r>
                        <w:rPr>
                          <w:iCs/>
                        </w:rPr>
                        <w:t xml:space="preserve">Unless the UE transmitted PRACH in response to </w:t>
                      </w:r>
                      <w:r>
                        <w:rPr>
                          <w:i/>
                        </w:rPr>
                        <w:t>Beam-failure-recovery-request-RACH-Resource</w:t>
                      </w:r>
                      <w:r>
                        <w:t>,</w:t>
                      </w:r>
                      <w:r>
                        <w:rPr>
                          <w:iCs/>
                        </w:rPr>
                        <w:t xml:space="preserve"> the UE is not expected to monitor PDCCH candidates in the control resource set provided by </w:t>
                      </w:r>
                      <w:r>
                        <w:rPr>
                          <w:i/>
                        </w:rPr>
                        <w:t>recoveryControlResourceSetId</w:t>
                      </w:r>
                      <w:r>
                        <w:rPr>
                          <w:iCs/>
                        </w:rPr>
                        <w:t xml:space="preserve"> after the UE receives a higher layer parameter </w:t>
                      </w:r>
                      <w:r>
                        <w:rPr>
                          <w:i/>
                        </w:rPr>
                        <w:t>ControlResourceSet</w:t>
                      </w:r>
                      <w:r>
                        <w:t xml:space="preserve"> or after the UE receives a MAC CE </w:t>
                      </w:r>
                      <w:r>
                        <w:rPr>
                          <w:rFonts w:eastAsia="Malgun Gothic"/>
                        </w:rPr>
                        <w:t>activation for a TCI state</w:t>
                      </w:r>
                      <w:r>
                        <w:t>.</w:t>
                      </w:r>
                    </w:p>
                  </w:txbxContent>
                </v:textbox>
                <w10:anchorlock/>
              </v:shape>
            </w:pict>
          </mc:Fallback>
        </mc:AlternateContent>
      </w:r>
    </w:p>
    <w:p w14:paraId="1BD1A1DF" w14:textId="77777777" w:rsidR="00715EB1" w:rsidRDefault="00715EB1" w:rsidP="00715EB1">
      <w:pPr>
        <w:pStyle w:val="BodyText"/>
      </w:pPr>
      <w:r>
        <w:t xml:space="preserve">This sentence implies that the UE will not monitor search spaces associated with </w:t>
      </w:r>
      <w:r>
        <w:rPr>
          <w:i/>
        </w:rPr>
        <w:t>recoveryControlResourceSetId</w:t>
      </w:r>
      <w:r w:rsidRPr="00974728">
        <w:t xml:space="preserve">, </w:t>
      </w:r>
      <w:r w:rsidRPr="00974728">
        <w:rPr>
          <w:i/>
        </w:rPr>
        <w:t>even if the NW configured the UE to do so.</w:t>
      </w:r>
      <w:r>
        <w:rPr>
          <w:i/>
        </w:rPr>
        <w:t xml:space="preserve"> </w:t>
      </w:r>
      <w:r>
        <w:t>Hence, the specification of beam recovery leads to restrictions in how the NW configures control channels. In general, restricting network operation and configuration is avoided in the specification. In this particular case, the restriction is also on a very scarce resource. Hence, we propose</w:t>
      </w:r>
    </w:p>
    <w:p w14:paraId="0421F8A9" w14:textId="7E662A9B" w:rsidR="00592655" w:rsidRDefault="00715EB1" w:rsidP="000B71EB">
      <w:pPr>
        <w:pStyle w:val="Proposal"/>
      </w:pPr>
      <w:bookmarkStart w:id="12" w:name="_Toc513460067"/>
      <w:bookmarkStart w:id="13" w:name="_Toc513798502"/>
      <w:r>
        <w:t>Remove the sentence “</w:t>
      </w:r>
      <w:r w:rsidRPr="004A27B0">
        <w:t xml:space="preserve">Unless the UE transmitted PRACH in response to Beam-failure-recovery-request-RACH-Resource, the UE is not expected to monitor PDCCH candidates in the control resource set provided by </w:t>
      </w:r>
      <w:r w:rsidRPr="00AE7C2F">
        <w:rPr>
          <w:i/>
        </w:rPr>
        <w:t>recoveryControlResourceSetId</w:t>
      </w:r>
      <w:r w:rsidRPr="004A27B0">
        <w:t xml:space="preserve"> after the UE receives a higher layer parameter </w:t>
      </w:r>
      <w:r w:rsidRPr="00AE7C2F">
        <w:rPr>
          <w:i/>
        </w:rPr>
        <w:t>ControlResourceSet</w:t>
      </w:r>
      <w:r w:rsidRPr="004A27B0">
        <w:t xml:space="preserve"> or after the UE receives a MAC CE activation for a TCI state.</w:t>
      </w:r>
      <w:r>
        <w:t>” from 38.213.</w:t>
      </w:r>
      <w:bookmarkEnd w:id="12"/>
      <w:bookmarkEnd w:id="13"/>
    </w:p>
    <w:p w14:paraId="4BAD5E7E" w14:textId="1E61712A" w:rsidR="0021134C" w:rsidRDefault="0021134C" w:rsidP="0021134C">
      <w:pPr>
        <w:pStyle w:val="Heading2"/>
      </w:pPr>
      <w:r>
        <w:t>2.5</w:t>
      </w:r>
      <w:r>
        <w:tab/>
        <w:t>Clarification of Case 1-1, Case 1-2 and Case 2</w:t>
      </w:r>
      <w:r w:rsidR="00F43E02">
        <w:t xml:space="preserve"> </w:t>
      </w:r>
      <w:r w:rsidR="008F2BBA">
        <w:t>definitions</w:t>
      </w:r>
    </w:p>
    <w:p w14:paraId="550EE343" w14:textId="77FA2B3F" w:rsidR="0021134C" w:rsidRPr="006C5BEE" w:rsidRDefault="0021134C" w:rsidP="0021134C">
      <w:pPr>
        <w:rPr>
          <w:rFonts w:ascii="Arial" w:hAnsi="Arial" w:cs="Arial"/>
        </w:rPr>
      </w:pPr>
      <w:r w:rsidRPr="006C5BEE">
        <w:rPr>
          <w:rFonts w:ascii="Arial" w:hAnsi="Arial" w:cs="Arial"/>
        </w:rPr>
        <w:t xml:space="preserve">The notion of Case 1-1, Case 1-2 and Case 2 has been used in the context of defining BD and CCE limits for UE. They were defined as follows </w:t>
      </w:r>
      <w:r w:rsidR="00F43E02" w:rsidRPr="006C5BEE">
        <w:rPr>
          <w:rFonts w:ascii="Arial" w:hAnsi="Arial" w:cs="Arial"/>
        </w:rPr>
        <w:t>at</w:t>
      </w:r>
      <w:r w:rsidRPr="006C5BEE">
        <w:rPr>
          <w:rFonts w:ascii="Arial" w:hAnsi="Arial" w:cs="Arial"/>
        </w:rPr>
        <w:t xml:space="preserve"> RAN1#91:</w:t>
      </w:r>
    </w:p>
    <w:p w14:paraId="59399F12" w14:textId="65A4D05C" w:rsidR="0021134C" w:rsidRDefault="00D02E39" w:rsidP="0021134C">
      <w:pPr>
        <w:rPr>
          <w:lang w:val="en-US"/>
        </w:rPr>
      </w:pPr>
      <w:r>
        <w:rPr>
          <w:noProof/>
        </w:rPr>
        <mc:AlternateContent>
          <mc:Choice Requires="wps">
            <w:drawing>
              <wp:inline distT="0" distB="0" distL="0" distR="0" wp14:anchorId="7EDA337B" wp14:editId="420BB6F4">
                <wp:extent cx="6120765" cy="1088390"/>
                <wp:effectExtent l="0" t="0" r="13335" b="16510"/>
                <wp:docPr id="4" name="Text Box 4"/>
                <wp:cNvGraphicFramePr/>
                <a:graphic xmlns:a="http://schemas.openxmlformats.org/drawingml/2006/main">
                  <a:graphicData uri="http://schemas.microsoft.com/office/word/2010/wordprocessingShape">
                    <wps:wsp>
                      <wps:cNvSpPr txBox="1"/>
                      <wps:spPr>
                        <a:xfrm>
                          <a:off x="0" y="0"/>
                          <a:ext cx="6120765" cy="1088390"/>
                        </a:xfrm>
                        <a:prstGeom prst="rect">
                          <a:avLst/>
                        </a:prstGeom>
                        <a:solidFill>
                          <a:schemeClr val="lt1"/>
                        </a:solidFill>
                        <a:ln w="6350">
                          <a:solidFill>
                            <a:prstClr val="black"/>
                          </a:solidFill>
                        </a:ln>
                      </wps:spPr>
                      <wps:txbx>
                        <w:txbxContent>
                          <w:p w14:paraId="64004B28" w14:textId="77777777" w:rsidR="00CC6E94" w:rsidRPr="00601910" w:rsidRDefault="00CC6E94" w:rsidP="00D02E39">
                            <w:pPr>
                              <w:numPr>
                                <w:ilvl w:val="0"/>
                                <w:numId w:val="32"/>
                              </w:numPr>
                              <w:overflowPunct/>
                              <w:autoSpaceDE/>
                              <w:autoSpaceDN/>
                              <w:adjustRightInd/>
                              <w:spacing w:after="0"/>
                              <w:textAlignment w:val="auto"/>
                              <w:rPr>
                                <w:lang w:val="en-US" w:eastAsia="x-none"/>
                              </w:rPr>
                            </w:pPr>
                            <w:r w:rsidRPr="00601910">
                              <w:rPr>
                                <w:lang w:val="en-US" w:eastAsia="x-none"/>
                              </w:rPr>
                              <w:t>Case 1: PDCCH monitoring periodicity of 14 or more symbols</w:t>
                            </w:r>
                          </w:p>
                          <w:p w14:paraId="7A5016C5" w14:textId="77777777" w:rsidR="00CC6E94" w:rsidRPr="00601910" w:rsidRDefault="00CC6E94" w:rsidP="00D02E39">
                            <w:pPr>
                              <w:numPr>
                                <w:ilvl w:val="1"/>
                                <w:numId w:val="32"/>
                              </w:numPr>
                              <w:overflowPunct/>
                              <w:autoSpaceDE/>
                              <w:autoSpaceDN/>
                              <w:adjustRightInd/>
                              <w:spacing w:after="0"/>
                              <w:textAlignment w:val="auto"/>
                              <w:rPr>
                                <w:lang w:val="en-US" w:eastAsia="x-none"/>
                              </w:rPr>
                            </w:pPr>
                            <w:r w:rsidRPr="00601910">
                              <w:rPr>
                                <w:lang w:val="en-US" w:eastAsia="x-none"/>
                              </w:rPr>
                              <w:t>Case 1-1: PDCCH monitoring on up to three OFDM symbols at the beginning of a slot</w:t>
                            </w:r>
                          </w:p>
                          <w:p w14:paraId="6D866A37" w14:textId="77777777" w:rsidR="00CC6E94" w:rsidRPr="00601910" w:rsidRDefault="00CC6E94" w:rsidP="00D02E39">
                            <w:pPr>
                              <w:numPr>
                                <w:ilvl w:val="1"/>
                                <w:numId w:val="32"/>
                              </w:numPr>
                              <w:overflowPunct/>
                              <w:autoSpaceDE/>
                              <w:autoSpaceDN/>
                              <w:adjustRightInd/>
                              <w:spacing w:after="0"/>
                              <w:textAlignment w:val="auto"/>
                              <w:rPr>
                                <w:lang w:val="en-US" w:eastAsia="x-none"/>
                              </w:rPr>
                            </w:pPr>
                            <w:r w:rsidRPr="00601910">
                              <w:rPr>
                                <w:lang w:val="en-US" w:eastAsia="x-none"/>
                              </w:rPr>
                              <w:t>Case 1-2: PDCCH monitoring on any span of up to 3 consecutive OFDM symbols of a slot</w:t>
                            </w:r>
                          </w:p>
                          <w:p w14:paraId="58A5BA7D" w14:textId="77777777" w:rsidR="00CC6E94" w:rsidRPr="00601910" w:rsidRDefault="00CC6E94" w:rsidP="00D02E39">
                            <w:pPr>
                              <w:numPr>
                                <w:ilvl w:val="2"/>
                                <w:numId w:val="32"/>
                              </w:numPr>
                              <w:overflowPunct/>
                              <w:autoSpaceDE/>
                              <w:autoSpaceDN/>
                              <w:adjustRightInd/>
                              <w:spacing w:after="0"/>
                              <w:textAlignment w:val="auto"/>
                              <w:rPr>
                                <w:lang w:val="en-US" w:eastAsia="x-none"/>
                              </w:rPr>
                            </w:pPr>
                            <w:r w:rsidRPr="00601910">
                              <w:rPr>
                                <w:lang w:val="en-US" w:eastAsia="x-none"/>
                              </w:rPr>
                              <w:t>For a given UE, all search space configurations are within the same span of 3 consecutive OFDM symbols in the slot</w:t>
                            </w:r>
                          </w:p>
                          <w:p w14:paraId="68F026A6" w14:textId="77777777" w:rsidR="00CC6E94" w:rsidRPr="00601910" w:rsidRDefault="00CC6E94" w:rsidP="00D02E39">
                            <w:pPr>
                              <w:numPr>
                                <w:ilvl w:val="0"/>
                                <w:numId w:val="32"/>
                              </w:numPr>
                              <w:overflowPunct/>
                              <w:autoSpaceDE/>
                              <w:autoSpaceDN/>
                              <w:adjustRightInd/>
                              <w:spacing w:after="0"/>
                              <w:textAlignment w:val="auto"/>
                              <w:rPr>
                                <w:lang w:val="en-US" w:eastAsia="x-none"/>
                              </w:rPr>
                            </w:pPr>
                            <w:r w:rsidRPr="00601910">
                              <w:rPr>
                                <w:lang w:val="en-US" w:eastAsia="x-none"/>
                              </w:rPr>
                              <w:t>Case 2: PDCCH monitoring periodicity of less than 14 symbols</w:t>
                            </w:r>
                          </w:p>
                          <w:p w14:paraId="43AF8495" w14:textId="78D92B9C" w:rsidR="00CC6E94" w:rsidRPr="00D02E39" w:rsidRDefault="00CC6E94" w:rsidP="00D02E39">
                            <w:pPr>
                              <w:numPr>
                                <w:ilvl w:val="1"/>
                                <w:numId w:val="32"/>
                              </w:numPr>
                              <w:overflowPunct/>
                              <w:autoSpaceDE/>
                              <w:autoSpaceDN/>
                              <w:adjustRightInd/>
                              <w:spacing w:after="0"/>
                              <w:textAlignment w:val="auto"/>
                              <w:rPr>
                                <w:lang w:val="en-US" w:eastAsia="x-none"/>
                              </w:rPr>
                            </w:pPr>
                            <w:r w:rsidRPr="00601910">
                              <w:rPr>
                                <w:lang w:val="en-US" w:eastAsia="x-none"/>
                              </w:rPr>
                              <w:t>Note: this includes the PDCCH monitoring of up to three OFDM symbols at the beginning of a slot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EDA337B" id="Text Box 4" o:spid="_x0000_s1030" type="#_x0000_t202" style="width:481.95pt;height:85.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" fillcolor="white [3201]" strokeweight=".5pt">
                <v:textbox style="mso-fit-shape-to-text:t">
                  <w:txbxContent>
                    <w:p w14:paraId="64004B28" w14:textId="77777777" w:rsidR="00CC6E94" w:rsidRPr="00601910" w:rsidRDefault="00CC6E94" w:rsidP="00D02E39">
                      <w:pPr>
                        <w:numPr>
                          <w:ilvl w:val="0"/>
                          <w:numId w:val="32"/>
                        </w:numPr>
                        <w:overflowPunct/>
                        <w:autoSpaceDE/>
                        <w:autoSpaceDN/>
                        <w:adjustRightInd/>
                        <w:spacing w:after="0"/>
                        <w:textAlignment w:val="auto"/>
                        <w:rPr>
                          <w:lang w:val="en-US" w:eastAsia="x-none"/>
                        </w:rPr>
                      </w:pPr>
                      <w:r w:rsidRPr="00601910">
                        <w:rPr>
                          <w:lang w:val="en-US" w:eastAsia="x-none"/>
                        </w:rPr>
                        <w:t>Case 1: PDCCH monitoring periodicity of 14 or more symbols</w:t>
                      </w:r>
                    </w:p>
                    <w:p w14:paraId="7A5016C5" w14:textId="77777777" w:rsidR="00CC6E94" w:rsidRPr="00601910" w:rsidRDefault="00CC6E94" w:rsidP="00D02E39">
                      <w:pPr>
                        <w:numPr>
                          <w:ilvl w:val="1"/>
                          <w:numId w:val="32"/>
                        </w:numPr>
                        <w:overflowPunct/>
                        <w:autoSpaceDE/>
                        <w:autoSpaceDN/>
                        <w:adjustRightInd/>
                        <w:spacing w:after="0"/>
                        <w:textAlignment w:val="auto"/>
                        <w:rPr>
                          <w:lang w:val="en-US" w:eastAsia="x-none"/>
                        </w:rPr>
                      </w:pPr>
                      <w:r w:rsidRPr="00601910">
                        <w:rPr>
                          <w:lang w:val="en-US" w:eastAsia="x-none"/>
                        </w:rPr>
                        <w:t>Case 1-1: PDCCH monitoring on up to three OFDM symbols at the beginning of a slot</w:t>
                      </w:r>
                    </w:p>
                    <w:p w14:paraId="6D866A37" w14:textId="77777777" w:rsidR="00CC6E94" w:rsidRPr="00601910" w:rsidRDefault="00CC6E94" w:rsidP="00D02E39">
                      <w:pPr>
                        <w:numPr>
                          <w:ilvl w:val="1"/>
                          <w:numId w:val="32"/>
                        </w:numPr>
                        <w:overflowPunct/>
                        <w:autoSpaceDE/>
                        <w:autoSpaceDN/>
                        <w:adjustRightInd/>
                        <w:spacing w:after="0"/>
                        <w:textAlignment w:val="auto"/>
                        <w:rPr>
                          <w:lang w:val="en-US" w:eastAsia="x-none"/>
                        </w:rPr>
                      </w:pPr>
                      <w:r w:rsidRPr="00601910">
                        <w:rPr>
                          <w:lang w:val="en-US" w:eastAsia="x-none"/>
                        </w:rPr>
                        <w:t>Case 1-2: PDCCH monitoring on any span of up to 3 consecutive OFDM symbols of a slot</w:t>
                      </w:r>
                    </w:p>
                    <w:p w14:paraId="58A5BA7D" w14:textId="77777777" w:rsidR="00CC6E94" w:rsidRPr="00601910" w:rsidRDefault="00CC6E94" w:rsidP="00D02E39">
                      <w:pPr>
                        <w:numPr>
                          <w:ilvl w:val="2"/>
                          <w:numId w:val="32"/>
                        </w:numPr>
                        <w:overflowPunct/>
                        <w:autoSpaceDE/>
                        <w:autoSpaceDN/>
                        <w:adjustRightInd/>
                        <w:spacing w:after="0"/>
                        <w:textAlignment w:val="auto"/>
                        <w:rPr>
                          <w:lang w:val="en-US" w:eastAsia="x-none"/>
                        </w:rPr>
                      </w:pPr>
                      <w:r w:rsidRPr="00601910">
                        <w:rPr>
                          <w:lang w:val="en-US" w:eastAsia="x-none"/>
                        </w:rPr>
                        <w:t>For a given UE, all search space configurations are within the same span of 3 consecutive OFDM symbols in the slot</w:t>
                      </w:r>
                    </w:p>
                    <w:p w14:paraId="68F026A6" w14:textId="77777777" w:rsidR="00CC6E94" w:rsidRPr="00601910" w:rsidRDefault="00CC6E94" w:rsidP="00D02E39">
                      <w:pPr>
                        <w:numPr>
                          <w:ilvl w:val="0"/>
                          <w:numId w:val="32"/>
                        </w:numPr>
                        <w:overflowPunct/>
                        <w:autoSpaceDE/>
                        <w:autoSpaceDN/>
                        <w:adjustRightInd/>
                        <w:spacing w:after="0"/>
                        <w:textAlignment w:val="auto"/>
                        <w:rPr>
                          <w:lang w:val="en-US" w:eastAsia="x-none"/>
                        </w:rPr>
                      </w:pPr>
                      <w:r w:rsidRPr="00601910">
                        <w:rPr>
                          <w:lang w:val="en-US" w:eastAsia="x-none"/>
                        </w:rPr>
                        <w:t>Case 2: PDCCH monitoring periodicity of less than 14 symbols</w:t>
                      </w:r>
                    </w:p>
                    <w:p w14:paraId="43AF8495" w14:textId="78D92B9C" w:rsidR="00CC6E94" w:rsidRPr="00D02E39" w:rsidRDefault="00CC6E94" w:rsidP="00D02E39">
                      <w:pPr>
                        <w:numPr>
                          <w:ilvl w:val="1"/>
                          <w:numId w:val="32"/>
                        </w:numPr>
                        <w:overflowPunct/>
                        <w:autoSpaceDE/>
                        <w:autoSpaceDN/>
                        <w:adjustRightInd/>
                        <w:spacing w:after="0"/>
                        <w:textAlignment w:val="auto"/>
                        <w:rPr>
                          <w:lang w:val="en-US" w:eastAsia="x-none"/>
                        </w:rPr>
                      </w:pPr>
                      <w:r w:rsidRPr="00601910">
                        <w:rPr>
                          <w:lang w:val="en-US" w:eastAsia="x-none"/>
                        </w:rPr>
                        <w:t>Note: this includes the PDCCH monitoring of up to three OFDM symbols at the beginning of a slot</w:t>
                      </w:r>
                    </w:p>
                  </w:txbxContent>
                </v:textbox>
                <w10:anchorlock/>
              </v:shape>
            </w:pict>
          </mc:Fallback>
        </mc:AlternateContent>
      </w:r>
    </w:p>
    <w:p w14:paraId="67FD51E0" w14:textId="55594203" w:rsidR="0021134C" w:rsidRPr="006C5BEE" w:rsidRDefault="0021134C" w:rsidP="006C5BEE">
      <w:pPr>
        <w:jc w:val="both"/>
        <w:rPr>
          <w:rFonts w:ascii="Arial" w:hAnsi="Arial" w:cs="Arial"/>
          <w:lang w:val="en-US"/>
        </w:rPr>
      </w:pPr>
      <w:r w:rsidRPr="006C5BEE">
        <w:rPr>
          <w:rFonts w:ascii="Arial" w:hAnsi="Arial" w:cs="Arial"/>
          <w:lang w:val="en-US"/>
        </w:rPr>
        <w:t xml:space="preserve">These definitions are ambiguous </w:t>
      </w:r>
      <w:r w:rsidR="006C5C50" w:rsidRPr="006C5BEE">
        <w:rPr>
          <w:rFonts w:ascii="Arial" w:hAnsi="Arial" w:cs="Arial"/>
          <w:lang w:val="en-US"/>
        </w:rPr>
        <w:t xml:space="preserve">since </w:t>
      </w:r>
      <w:r w:rsidRPr="006C5BEE">
        <w:rPr>
          <w:rFonts w:ascii="Arial" w:hAnsi="Arial" w:cs="Arial"/>
          <w:lang w:val="en-US"/>
        </w:rPr>
        <w:t xml:space="preserve">Case 2 is defined as “PDCCH monitoring periodicity of less than 14 symbols”. But since the PDCCH monitoring periodicity in 38.213 is </w:t>
      </w:r>
      <w:r w:rsidR="006C5C50" w:rsidRPr="006C5BEE">
        <w:rPr>
          <w:rFonts w:ascii="Arial" w:hAnsi="Arial" w:cs="Arial"/>
          <w:lang w:val="en-US"/>
        </w:rPr>
        <w:t xml:space="preserve">defined per SS set and </w:t>
      </w:r>
      <w:r w:rsidRPr="006C5BEE">
        <w:rPr>
          <w:rFonts w:ascii="Arial" w:hAnsi="Arial" w:cs="Arial"/>
          <w:lang w:val="en-US"/>
        </w:rPr>
        <w:t xml:space="preserve">given in number of slots, by definition it cannot be less than 14 symbols. </w:t>
      </w:r>
      <w:r w:rsidR="002477C6" w:rsidRPr="006C5BEE">
        <w:rPr>
          <w:rFonts w:ascii="Arial" w:hAnsi="Arial" w:cs="Arial"/>
          <w:lang w:val="en-US"/>
        </w:rPr>
        <w:t xml:space="preserve">It should be clarified that it is the combined </w:t>
      </w:r>
      <w:r w:rsidR="006C5C50" w:rsidRPr="006C5BEE">
        <w:rPr>
          <w:rFonts w:ascii="Arial" w:hAnsi="Arial" w:cs="Arial"/>
          <w:lang w:val="en-US"/>
        </w:rPr>
        <w:t>“</w:t>
      </w:r>
      <w:r w:rsidR="002477C6" w:rsidRPr="006C5BEE">
        <w:rPr>
          <w:rFonts w:ascii="Arial" w:hAnsi="Arial" w:cs="Arial"/>
          <w:lang w:val="en-US"/>
        </w:rPr>
        <w:t>monitoring periodicity</w:t>
      </w:r>
      <w:r w:rsidR="006C5C50" w:rsidRPr="006C5BEE">
        <w:rPr>
          <w:rFonts w:ascii="Arial" w:hAnsi="Arial" w:cs="Arial"/>
          <w:lang w:val="en-US"/>
        </w:rPr>
        <w:t>”</w:t>
      </w:r>
      <w:r w:rsidR="002477C6" w:rsidRPr="006C5BEE">
        <w:rPr>
          <w:rFonts w:ascii="Arial" w:hAnsi="Arial" w:cs="Arial"/>
          <w:lang w:val="en-US"/>
        </w:rPr>
        <w:t xml:space="preserve"> of all SS sets that </w:t>
      </w:r>
      <w:r w:rsidR="006C5C50" w:rsidRPr="006C5BEE">
        <w:rPr>
          <w:rFonts w:ascii="Arial" w:hAnsi="Arial" w:cs="Arial"/>
          <w:lang w:val="en-US"/>
        </w:rPr>
        <w:t xml:space="preserve">are monitored in a given slot that </w:t>
      </w:r>
      <w:r w:rsidR="002477C6" w:rsidRPr="006C5BEE">
        <w:rPr>
          <w:rFonts w:ascii="Arial" w:hAnsi="Arial" w:cs="Arial"/>
          <w:lang w:val="en-US"/>
        </w:rPr>
        <w:t>is referred</w:t>
      </w:r>
      <w:r w:rsidR="006C5C50" w:rsidRPr="006C5BEE">
        <w:rPr>
          <w:rFonts w:ascii="Arial" w:hAnsi="Arial" w:cs="Arial"/>
          <w:lang w:val="en-US"/>
        </w:rPr>
        <w:t xml:space="preserve"> to</w:t>
      </w:r>
      <w:r w:rsidR="002477C6" w:rsidRPr="006C5BEE">
        <w:rPr>
          <w:rFonts w:ascii="Arial" w:hAnsi="Arial" w:cs="Arial"/>
          <w:lang w:val="en-US"/>
        </w:rPr>
        <w:t xml:space="preserve">. </w:t>
      </w:r>
      <w:r w:rsidR="006C5C50" w:rsidRPr="006C5BEE">
        <w:rPr>
          <w:rFonts w:ascii="Arial" w:hAnsi="Arial" w:cs="Arial"/>
          <w:lang w:val="en-US"/>
        </w:rPr>
        <w:t xml:space="preserve">E.g., </w:t>
      </w:r>
      <w:r w:rsidRPr="006C5BEE">
        <w:rPr>
          <w:rFonts w:ascii="Arial" w:hAnsi="Arial" w:cs="Arial"/>
          <w:lang w:val="en-US"/>
        </w:rPr>
        <w:t xml:space="preserve">that the PDCCH monitoring pattern </w:t>
      </w:r>
      <w:r w:rsidR="006C5C50" w:rsidRPr="006C5BEE">
        <w:rPr>
          <w:rFonts w:ascii="Arial" w:hAnsi="Arial" w:cs="Arial"/>
          <w:lang w:val="en-US"/>
        </w:rPr>
        <w:t xml:space="preserve">of one SS </w:t>
      </w:r>
      <w:r w:rsidRPr="006C5BEE">
        <w:rPr>
          <w:rFonts w:ascii="Arial" w:hAnsi="Arial" w:cs="Arial"/>
          <w:lang w:val="en-US"/>
        </w:rPr>
        <w:t>defines more than one monitoring occasion within a slot</w:t>
      </w:r>
      <w:r w:rsidR="006C5C50" w:rsidRPr="006C5BEE">
        <w:rPr>
          <w:rFonts w:ascii="Arial" w:hAnsi="Arial" w:cs="Arial"/>
          <w:lang w:val="en-US"/>
        </w:rPr>
        <w:t>, or that two or more SS sets have monitoring occasions at different (spans of consecutive) OFDM symbols in the slot.</w:t>
      </w:r>
    </w:p>
    <w:p w14:paraId="7C3AF462" w14:textId="2F64ED34" w:rsidR="0021134C" w:rsidRDefault="0021134C" w:rsidP="0021134C">
      <w:pPr>
        <w:overflowPunct/>
        <w:autoSpaceDE/>
        <w:autoSpaceDN/>
        <w:adjustRightInd/>
        <w:spacing w:after="0"/>
        <w:textAlignment w:val="auto"/>
        <w:rPr>
          <w:lang w:val="en-US"/>
        </w:rPr>
      </w:pPr>
    </w:p>
    <w:p w14:paraId="4DECAF58" w14:textId="00063E75" w:rsidR="0021134C" w:rsidRPr="0099158B" w:rsidRDefault="00791C0B" w:rsidP="002477C6">
      <w:pPr>
        <w:pStyle w:val="Proposal"/>
        <w:overflowPunct/>
        <w:autoSpaceDE/>
        <w:autoSpaceDN/>
        <w:adjustRightInd/>
        <w:spacing w:after="0"/>
        <w:textAlignment w:val="auto"/>
        <w:rPr>
          <w:lang w:val="en-US"/>
        </w:rPr>
      </w:pPr>
      <w:bookmarkStart w:id="14" w:name="_Toc513798503"/>
      <w:r w:rsidRPr="00791C0B">
        <w:t>Clarify the definition of Case 1 and Case 2</w:t>
      </w:r>
      <w:r w:rsidR="0061623E">
        <w:t>.</w:t>
      </w:r>
      <w:bookmarkEnd w:id="14"/>
      <w:r>
        <w:br/>
      </w:r>
    </w:p>
    <w:p w14:paraId="5DAEF8BB" w14:textId="546B5BBB" w:rsidR="0021134C" w:rsidRPr="00791C0B" w:rsidRDefault="0021134C" w:rsidP="0021134C">
      <w:pPr>
        <w:numPr>
          <w:ilvl w:val="1"/>
          <w:numId w:val="36"/>
        </w:numPr>
        <w:overflowPunct/>
        <w:autoSpaceDE/>
        <w:autoSpaceDN/>
        <w:adjustRightInd/>
        <w:spacing w:after="0"/>
        <w:textAlignment w:val="auto"/>
        <w:rPr>
          <w:lang w:val="en-US" w:eastAsia="x-none"/>
        </w:rPr>
      </w:pPr>
      <w:bookmarkStart w:id="15" w:name="_Hlk513631751"/>
      <w:r w:rsidRPr="00791C0B">
        <w:rPr>
          <w:lang w:val="en-US" w:eastAsia="x-none"/>
        </w:rPr>
        <w:t xml:space="preserve">Case 1: PDCCH monitoring </w:t>
      </w:r>
      <w:r w:rsidR="006C5C50">
        <w:rPr>
          <w:color w:val="FF0000"/>
          <w:u w:val="single"/>
          <w:lang w:val="en-US" w:eastAsia="x-none"/>
        </w:rPr>
        <w:t>o</w:t>
      </w:r>
      <w:r w:rsidR="00255335">
        <w:rPr>
          <w:color w:val="FF0000"/>
          <w:u w:val="single"/>
          <w:lang w:val="en-US" w:eastAsia="x-none"/>
        </w:rPr>
        <w:t>f all SS sets that are monitored in a slot o</w:t>
      </w:r>
      <w:r w:rsidR="006C5C50">
        <w:rPr>
          <w:color w:val="FF0000"/>
          <w:u w:val="single"/>
          <w:lang w:val="en-US" w:eastAsia="x-none"/>
        </w:rPr>
        <w:t>ccurs at most at one span of up to 3 consecutive OFDM symbols</w:t>
      </w:r>
      <w:r w:rsidRPr="00791C0B">
        <w:rPr>
          <w:strike/>
          <w:color w:val="808080" w:themeColor="background1" w:themeShade="80"/>
          <w:lang w:val="en-US" w:eastAsia="x-none"/>
        </w:rPr>
        <w:t>periodicity of 14 or more symbols</w:t>
      </w:r>
    </w:p>
    <w:p w14:paraId="1C88FAFF" w14:textId="77777777" w:rsidR="0021134C" w:rsidRPr="00791C0B" w:rsidRDefault="0021134C" w:rsidP="0021134C">
      <w:pPr>
        <w:numPr>
          <w:ilvl w:val="2"/>
          <w:numId w:val="36"/>
        </w:numPr>
        <w:overflowPunct/>
        <w:autoSpaceDE/>
        <w:autoSpaceDN/>
        <w:adjustRightInd/>
        <w:spacing w:after="0"/>
        <w:textAlignment w:val="auto"/>
        <w:rPr>
          <w:lang w:val="en-US" w:eastAsia="x-none"/>
        </w:rPr>
      </w:pPr>
      <w:r w:rsidRPr="00791C0B">
        <w:rPr>
          <w:lang w:val="en-US" w:eastAsia="x-none"/>
        </w:rPr>
        <w:t>Case 1-1: PDCCH monitoring on up to three OFDM symbols at the beginning of a slot</w:t>
      </w:r>
    </w:p>
    <w:p w14:paraId="4E11D30A" w14:textId="77777777" w:rsidR="0021134C" w:rsidRPr="00791C0B" w:rsidRDefault="0021134C" w:rsidP="0021134C">
      <w:pPr>
        <w:numPr>
          <w:ilvl w:val="2"/>
          <w:numId w:val="36"/>
        </w:numPr>
        <w:overflowPunct/>
        <w:autoSpaceDE/>
        <w:autoSpaceDN/>
        <w:adjustRightInd/>
        <w:spacing w:after="0"/>
        <w:textAlignment w:val="auto"/>
        <w:rPr>
          <w:lang w:val="en-US" w:eastAsia="x-none"/>
        </w:rPr>
      </w:pPr>
      <w:r w:rsidRPr="00791C0B">
        <w:rPr>
          <w:lang w:val="en-US" w:eastAsia="x-none"/>
        </w:rPr>
        <w:t>Case 1-2: PDCCH monitoring on any span of up to 3 consecutive OFDM symbols of a slot</w:t>
      </w:r>
    </w:p>
    <w:p w14:paraId="1CDA0EA3" w14:textId="77777777" w:rsidR="0021134C" w:rsidRPr="00791C0B" w:rsidRDefault="0021134C" w:rsidP="0021134C">
      <w:pPr>
        <w:numPr>
          <w:ilvl w:val="3"/>
          <w:numId w:val="36"/>
        </w:numPr>
        <w:overflowPunct/>
        <w:autoSpaceDE/>
        <w:autoSpaceDN/>
        <w:adjustRightInd/>
        <w:spacing w:after="0"/>
        <w:textAlignment w:val="auto"/>
        <w:rPr>
          <w:lang w:val="en-US" w:eastAsia="x-none"/>
        </w:rPr>
      </w:pPr>
      <w:r w:rsidRPr="00791C0B">
        <w:rPr>
          <w:lang w:val="en-US" w:eastAsia="x-none"/>
        </w:rPr>
        <w:t>For a given UE, all search space configurations are within the same span of 3 consecutive OFDM symbols in the slot</w:t>
      </w:r>
    </w:p>
    <w:p w14:paraId="74703B2F" w14:textId="70F62C48" w:rsidR="0021134C" w:rsidRPr="00791C0B" w:rsidRDefault="0021134C" w:rsidP="0021134C">
      <w:pPr>
        <w:numPr>
          <w:ilvl w:val="1"/>
          <w:numId w:val="36"/>
        </w:numPr>
        <w:overflowPunct/>
        <w:autoSpaceDE/>
        <w:autoSpaceDN/>
        <w:adjustRightInd/>
        <w:spacing w:after="0"/>
        <w:textAlignment w:val="auto"/>
        <w:rPr>
          <w:lang w:val="en-US" w:eastAsia="x-none"/>
        </w:rPr>
      </w:pPr>
      <w:r w:rsidRPr="00791C0B">
        <w:rPr>
          <w:lang w:val="en-US" w:eastAsia="x-none"/>
        </w:rPr>
        <w:t xml:space="preserve">Case 2: PDCCH monitoring </w:t>
      </w:r>
      <w:r w:rsidR="006C5C50">
        <w:rPr>
          <w:color w:val="FF0000"/>
          <w:u w:val="single"/>
          <w:lang w:val="en-US" w:eastAsia="x-none"/>
        </w:rPr>
        <w:t>o</w:t>
      </w:r>
      <w:r w:rsidR="00255335">
        <w:rPr>
          <w:color w:val="FF0000"/>
          <w:u w:val="single"/>
          <w:lang w:val="en-US" w:eastAsia="x-none"/>
        </w:rPr>
        <w:t xml:space="preserve">f all SS </w:t>
      </w:r>
      <w:r w:rsidR="00706F27">
        <w:rPr>
          <w:color w:val="FF0000"/>
          <w:u w:val="single"/>
          <w:lang w:val="en-US" w:eastAsia="x-none"/>
        </w:rPr>
        <w:t xml:space="preserve">sets </w:t>
      </w:r>
      <w:r w:rsidR="00255335">
        <w:rPr>
          <w:color w:val="FF0000"/>
          <w:u w:val="single"/>
          <w:lang w:val="en-US" w:eastAsia="x-none"/>
        </w:rPr>
        <w:t>that are monitored</w:t>
      </w:r>
      <w:r w:rsidR="00A54465">
        <w:rPr>
          <w:color w:val="FF0000"/>
          <w:u w:val="single"/>
          <w:lang w:val="en-US" w:eastAsia="x-none"/>
        </w:rPr>
        <w:t xml:space="preserve"> </w:t>
      </w:r>
      <w:r w:rsidR="00255335">
        <w:rPr>
          <w:color w:val="FF0000"/>
          <w:u w:val="single"/>
          <w:lang w:val="en-US" w:eastAsia="x-none"/>
        </w:rPr>
        <w:t>in a slot o</w:t>
      </w:r>
      <w:r w:rsidR="006C5C50">
        <w:rPr>
          <w:color w:val="FF0000"/>
          <w:u w:val="single"/>
          <w:lang w:val="en-US" w:eastAsia="x-none"/>
        </w:rPr>
        <w:t>ccurs at more than one span of up to 3 consecutive OFDM symbols</w:t>
      </w:r>
      <w:r w:rsidRPr="00791C0B">
        <w:rPr>
          <w:strike/>
          <w:color w:val="808080" w:themeColor="background1" w:themeShade="80"/>
          <w:lang w:val="en-US" w:eastAsia="x-none"/>
        </w:rPr>
        <w:t>periodicity of less than 14 symbols</w:t>
      </w:r>
    </w:p>
    <w:p w14:paraId="109B6E37" w14:textId="2F7958FA" w:rsidR="0021134C" w:rsidRDefault="0021134C" w:rsidP="0021134C">
      <w:pPr>
        <w:numPr>
          <w:ilvl w:val="2"/>
          <w:numId w:val="36"/>
        </w:numPr>
        <w:overflowPunct/>
        <w:autoSpaceDE/>
        <w:autoSpaceDN/>
        <w:adjustRightInd/>
        <w:spacing w:after="0"/>
        <w:textAlignment w:val="auto"/>
        <w:rPr>
          <w:lang w:val="en-US" w:eastAsia="x-none"/>
        </w:rPr>
      </w:pPr>
      <w:r w:rsidRPr="00791C0B">
        <w:rPr>
          <w:lang w:val="en-US" w:eastAsia="x-none"/>
        </w:rPr>
        <w:t>Note: this includes the PDCCH monitoring of up to three OFDM symbols at the beginning of a slot</w:t>
      </w:r>
    </w:p>
    <w:bookmarkEnd w:id="15"/>
    <w:p w14:paraId="1E85D41D" w14:textId="350DE670" w:rsidR="00F43E02" w:rsidRDefault="00F43E02" w:rsidP="00F43E02">
      <w:pPr>
        <w:pStyle w:val="Heading2"/>
      </w:pPr>
      <w:r>
        <w:t>2.6</w:t>
      </w:r>
      <w:r>
        <w:tab/>
        <w:t>CCE and BD limits for Rel-15 June 2018 version of Case 2</w:t>
      </w:r>
    </w:p>
    <w:p w14:paraId="0F271BC7" w14:textId="5E7AAE36" w:rsidR="00F43E02" w:rsidRPr="001554C1" w:rsidRDefault="00F43E02" w:rsidP="00F43E02">
      <w:pPr>
        <w:pStyle w:val="Heading3"/>
      </w:pPr>
      <w:r>
        <w:t>2.6.1</w:t>
      </w:r>
      <w:r>
        <w:tab/>
        <w:t>Current status</w:t>
      </w:r>
    </w:p>
    <w:p w14:paraId="6A616075" w14:textId="77777777" w:rsidR="00F43E02" w:rsidRDefault="00F43E02" w:rsidP="00F43E02">
      <w:pPr>
        <w:pStyle w:val="BodyText"/>
      </w:pPr>
      <w:r>
        <w:t xml:space="preserve">The issue of limiting the UE channel decoding complexity by specifying upper limits on the number of PDCCH blind decodes (BDs) per slot a UE is required to perform have been extensively discussed. At RAN1 #91 and </w:t>
      </w:r>
      <w:r>
        <w:lastRenderedPageBreak/>
        <w:t>RAN1 #92, the BD limits for case 1 and case 2, respectively, were agreed. These are summarized in the table below:</w:t>
      </w:r>
    </w:p>
    <w:tbl>
      <w:tblPr>
        <w:tblW w:w="7219" w:type="dxa"/>
        <w:tblInd w:w="1373" w:type="dxa"/>
        <w:tblCellMar>
          <w:left w:w="0" w:type="dxa"/>
          <w:right w:w="0" w:type="dxa"/>
        </w:tblCellMar>
        <w:tblLook w:val="04A0" w:firstRow="1" w:lastRow="0" w:firstColumn="1" w:lastColumn="0" w:noHBand="0" w:noVBand="1"/>
      </w:tblPr>
      <w:tblGrid>
        <w:gridCol w:w="3907"/>
        <w:gridCol w:w="825"/>
        <w:gridCol w:w="810"/>
        <w:gridCol w:w="817"/>
        <w:gridCol w:w="860"/>
      </w:tblGrid>
      <w:tr w:rsidR="00F43E02" w:rsidRPr="00315C7A" w14:paraId="112DAB15" w14:textId="77777777" w:rsidTr="002477C6">
        <w:trPr>
          <w:trHeight w:val="303"/>
        </w:trPr>
        <w:tc>
          <w:tcPr>
            <w:tcW w:w="3907" w:type="dxa"/>
            <w:vMerge w:val="restart"/>
            <w:tcBorders>
              <w:top w:val="single" w:sz="8" w:space="0" w:color="FFFFFF"/>
              <w:left w:val="single" w:sz="8" w:space="0" w:color="FFFFFF"/>
              <w:right w:val="single" w:sz="8" w:space="0" w:color="FFFFFF"/>
            </w:tcBorders>
            <w:shd w:val="clear" w:color="auto" w:fill="1D9A78"/>
            <w:tcMar>
              <w:top w:w="15" w:type="dxa"/>
              <w:left w:w="108" w:type="dxa"/>
              <w:bottom w:w="0" w:type="dxa"/>
              <w:right w:w="108" w:type="dxa"/>
            </w:tcMar>
            <w:vAlign w:val="center"/>
            <w:hideMark/>
          </w:tcPr>
          <w:p w14:paraId="34BE4710" w14:textId="77777777" w:rsidR="00F43E02" w:rsidRPr="00315C7A" w:rsidRDefault="00F43E02" w:rsidP="002477C6">
            <w:pPr>
              <w:jc w:val="center"/>
              <w:rPr>
                <w:bCs/>
              </w:rPr>
            </w:pPr>
            <w:r w:rsidRPr="00315C7A">
              <w:rPr>
                <w:bCs/>
              </w:rPr>
              <w:t xml:space="preserve">Max no. of PDCCH </w:t>
            </w:r>
            <w:r>
              <w:rPr>
                <w:bCs/>
              </w:rPr>
              <w:t>BD</w:t>
            </w:r>
            <w:r w:rsidRPr="00315C7A">
              <w:rPr>
                <w:bCs/>
              </w:rPr>
              <w:t>s per slot</w:t>
            </w:r>
          </w:p>
        </w:tc>
        <w:tc>
          <w:tcPr>
            <w:tcW w:w="3312" w:type="dxa"/>
            <w:gridSpan w:val="4"/>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14:paraId="02B9137F" w14:textId="77777777" w:rsidR="00F43E02" w:rsidRPr="00315C7A" w:rsidRDefault="00F43E02" w:rsidP="002477C6">
            <w:pPr>
              <w:jc w:val="center"/>
            </w:pPr>
            <w:r w:rsidRPr="00315C7A">
              <w:rPr>
                <w:bCs/>
              </w:rPr>
              <w:t>S</w:t>
            </w:r>
            <w:r>
              <w:rPr>
                <w:bCs/>
              </w:rPr>
              <w:t>ub-carrier spacing</w:t>
            </w:r>
          </w:p>
        </w:tc>
      </w:tr>
      <w:tr w:rsidR="00F43E02" w:rsidRPr="00315C7A" w14:paraId="4C039150" w14:textId="77777777" w:rsidTr="002477C6">
        <w:trPr>
          <w:trHeight w:val="303"/>
        </w:trPr>
        <w:tc>
          <w:tcPr>
            <w:tcW w:w="3907" w:type="dxa"/>
            <w:vMerge/>
            <w:tcBorders>
              <w:left w:val="single" w:sz="8" w:space="0" w:color="FFFFFF"/>
              <w:bottom w:val="single" w:sz="24" w:space="0" w:color="FFFFFF"/>
              <w:right w:val="single" w:sz="8" w:space="0" w:color="FFFFFF"/>
            </w:tcBorders>
            <w:vAlign w:val="center"/>
            <w:hideMark/>
          </w:tcPr>
          <w:p w14:paraId="20090419" w14:textId="77777777" w:rsidR="00F43E02" w:rsidRPr="00315C7A" w:rsidRDefault="00F43E02" w:rsidP="002477C6">
            <w:pPr>
              <w:jc w:val="center"/>
            </w:pPr>
          </w:p>
        </w:tc>
        <w:tc>
          <w:tcPr>
            <w:tcW w:w="825" w:type="dxa"/>
            <w:tcBorders>
              <w:top w:val="single" w:sz="24" w:space="0" w:color="FFFFFF"/>
              <w:left w:val="single" w:sz="24"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14EEF7CB" w14:textId="77777777" w:rsidR="00F43E02" w:rsidRPr="00315C7A" w:rsidRDefault="00F43E02" w:rsidP="002477C6">
            <w:pPr>
              <w:jc w:val="center"/>
            </w:pPr>
            <w:r w:rsidRPr="00315C7A">
              <w:t>15kHz</w:t>
            </w:r>
          </w:p>
        </w:tc>
        <w:tc>
          <w:tcPr>
            <w:tcW w:w="81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2EA4EFE1" w14:textId="77777777" w:rsidR="00F43E02" w:rsidRPr="00315C7A" w:rsidRDefault="00F43E02" w:rsidP="002477C6">
            <w:pPr>
              <w:jc w:val="center"/>
            </w:pPr>
            <w:r w:rsidRPr="00315C7A">
              <w:t>30kHz</w:t>
            </w:r>
          </w:p>
        </w:tc>
        <w:tc>
          <w:tcPr>
            <w:tcW w:w="817"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08934902" w14:textId="77777777" w:rsidR="00F43E02" w:rsidRPr="00315C7A" w:rsidRDefault="00F43E02" w:rsidP="002477C6">
            <w:pPr>
              <w:jc w:val="center"/>
            </w:pPr>
            <w:r w:rsidRPr="00315C7A">
              <w:t>60kHz</w:t>
            </w:r>
          </w:p>
        </w:tc>
        <w:tc>
          <w:tcPr>
            <w:tcW w:w="86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15648308" w14:textId="77777777" w:rsidR="00F43E02" w:rsidRPr="00315C7A" w:rsidRDefault="00F43E02" w:rsidP="002477C6">
            <w:pPr>
              <w:jc w:val="center"/>
            </w:pPr>
            <w:r w:rsidRPr="00315C7A">
              <w:t>120kHz</w:t>
            </w:r>
          </w:p>
        </w:tc>
      </w:tr>
      <w:tr w:rsidR="00F43E02" w:rsidRPr="00315C7A" w14:paraId="0D838FE8" w14:textId="77777777" w:rsidTr="002477C6">
        <w:trPr>
          <w:trHeight w:val="303"/>
        </w:trPr>
        <w:tc>
          <w:tcPr>
            <w:tcW w:w="3907" w:type="dxa"/>
            <w:tcBorders>
              <w:top w:val="single" w:sz="24" w:space="0" w:color="FFFFFF"/>
              <w:left w:val="single" w:sz="8" w:space="0" w:color="FFFFFF"/>
              <w:right w:val="single" w:sz="8" w:space="0" w:color="FFFFFF"/>
            </w:tcBorders>
            <w:shd w:val="clear" w:color="auto" w:fill="1D9A78"/>
            <w:tcMar>
              <w:top w:w="15" w:type="dxa"/>
              <w:left w:w="108" w:type="dxa"/>
              <w:bottom w:w="0" w:type="dxa"/>
              <w:right w:w="108" w:type="dxa"/>
            </w:tcMar>
            <w:vAlign w:val="center"/>
            <w:hideMark/>
          </w:tcPr>
          <w:p w14:paraId="3FEA87E0" w14:textId="77777777" w:rsidR="00F43E02" w:rsidRDefault="00F43E02" w:rsidP="002477C6">
            <w:pPr>
              <w:jc w:val="center"/>
              <w:rPr>
                <w:bCs/>
              </w:rPr>
            </w:pPr>
            <w:r>
              <w:rPr>
                <w:bCs/>
              </w:rPr>
              <w:t>Case 1 and Case 2</w:t>
            </w:r>
          </w:p>
        </w:tc>
        <w:tc>
          <w:tcPr>
            <w:tcW w:w="82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236B5FBD" w14:textId="77777777" w:rsidR="00F43E02" w:rsidRPr="00315C7A" w:rsidRDefault="00F43E02" w:rsidP="002477C6">
            <w:pPr>
              <w:jc w:val="center"/>
            </w:pPr>
            <w:r>
              <w:rPr>
                <w:bCs/>
              </w:rPr>
              <w:t>44</w:t>
            </w:r>
          </w:p>
        </w:tc>
        <w:tc>
          <w:tcPr>
            <w:tcW w:w="81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69449473" w14:textId="77777777" w:rsidR="00F43E02" w:rsidRPr="00315C7A" w:rsidRDefault="00F43E02" w:rsidP="002477C6">
            <w:pPr>
              <w:jc w:val="center"/>
            </w:pPr>
            <w:r>
              <w:rPr>
                <w:bCs/>
              </w:rPr>
              <w:t>36</w:t>
            </w:r>
          </w:p>
        </w:tc>
        <w:tc>
          <w:tcPr>
            <w:tcW w:w="817"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06FFE1DD" w14:textId="77777777" w:rsidR="00F43E02" w:rsidRPr="00315C7A" w:rsidRDefault="00F43E02" w:rsidP="002477C6">
            <w:pPr>
              <w:jc w:val="center"/>
            </w:pPr>
            <w:r>
              <w:rPr>
                <w:bCs/>
              </w:rPr>
              <w:t>22</w:t>
            </w:r>
          </w:p>
        </w:tc>
        <w:tc>
          <w:tcPr>
            <w:tcW w:w="86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218885D9" w14:textId="77777777" w:rsidR="00F43E02" w:rsidRPr="00315C7A" w:rsidRDefault="00F43E02" w:rsidP="002477C6">
            <w:pPr>
              <w:jc w:val="center"/>
            </w:pPr>
            <w:r>
              <w:rPr>
                <w:bCs/>
              </w:rPr>
              <w:t>20</w:t>
            </w:r>
          </w:p>
        </w:tc>
      </w:tr>
    </w:tbl>
    <w:p w14:paraId="0B3461FE" w14:textId="77777777" w:rsidR="00F43E02" w:rsidRDefault="00F43E02" w:rsidP="00F43E02">
      <w:pPr>
        <w:pStyle w:val="BodyText"/>
      </w:pPr>
    </w:p>
    <w:p w14:paraId="73A01547" w14:textId="2EF96B13" w:rsidR="00F43E02" w:rsidRDefault="00F43E02" w:rsidP="00F43E02">
      <w:pPr>
        <w:pStyle w:val="BodyText"/>
      </w:pPr>
      <w:r>
        <w:t>Similarly, the issue of limiting the UE channel estimation complexity by specifying upper limits on the number of CCEs that the UE is required to monitor per slot per cell has been discussed. At RAN1#92 CCE limits were agreed for a PDCCH monitoring periodicity of 1 slot or more (i.e., Case 1). At RAN1#92bis, is was agreed that for the December 2017 version of Rel-15, these limits apply for monitoring periodicities of less than one slot (Case 2) as well. The CCE limits are tabulated below:</w:t>
      </w:r>
    </w:p>
    <w:p w14:paraId="5F5D33FC" w14:textId="77777777" w:rsidR="00F43E02" w:rsidRDefault="00F43E02" w:rsidP="00F43E02">
      <w:pPr>
        <w:pStyle w:val="BodyText"/>
      </w:pPr>
    </w:p>
    <w:tbl>
      <w:tblPr>
        <w:tblW w:w="7219" w:type="dxa"/>
        <w:jc w:val="center"/>
        <w:tblCellMar>
          <w:left w:w="0" w:type="dxa"/>
          <w:right w:w="0" w:type="dxa"/>
        </w:tblCellMar>
        <w:tblLook w:val="04A0" w:firstRow="1" w:lastRow="0" w:firstColumn="1" w:lastColumn="0" w:noHBand="0" w:noVBand="1"/>
      </w:tblPr>
      <w:tblGrid>
        <w:gridCol w:w="3907"/>
        <w:gridCol w:w="825"/>
        <w:gridCol w:w="810"/>
        <w:gridCol w:w="817"/>
        <w:gridCol w:w="860"/>
      </w:tblGrid>
      <w:tr w:rsidR="00F43E02" w:rsidRPr="00315C7A" w14:paraId="7668AE8D" w14:textId="77777777" w:rsidTr="002477C6">
        <w:trPr>
          <w:trHeight w:val="303"/>
          <w:jc w:val="center"/>
        </w:trPr>
        <w:tc>
          <w:tcPr>
            <w:tcW w:w="3907" w:type="dxa"/>
            <w:vMerge w:val="restart"/>
            <w:tcBorders>
              <w:top w:val="single" w:sz="8" w:space="0" w:color="FFFFFF"/>
              <w:left w:val="single" w:sz="8" w:space="0" w:color="FFFFFF"/>
              <w:right w:val="single" w:sz="8" w:space="0" w:color="FFFFFF"/>
            </w:tcBorders>
            <w:shd w:val="clear" w:color="auto" w:fill="1D9A78"/>
            <w:tcMar>
              <w:top w:w="15" w:type="dxa"/>
              <w:left w:w="108" w:type="dxa"/>
              <w:bottom w:w="0" w:type="dxa"/>
              <w:right w:w="108" w:type="dxa"/>
            </w:tcMar>
            <w:vAlign w:val="center"/>
            <w:hideMark/>
          </w:tcPr>
          <w:p w14:paraId="15A039AB" w14:textId="77777777" w:rsidR="00F43E02" w:rsidRPr="00315C7A" w:rsidRDefault="00F43E02" w:rsidP="002477C6">
            <w:pPr>
              <w:jc w:val="center"/>
              <w:rPr>
                <w:bCs/>
              </w:rPr>
            </w:pPr>
            <w:r w:rsidRPr="00315C7A">
              <w:rPr>
                <w:bCs/>
              </w:rPr>
              <w:t xml:space="preserve">Max no. of PDCCH </w:t>
            </w:r>
            <w:r>
              <w:rPr>
                <w:bCs/>
              </w:rPr>
              <w:t>CCE</w:t>
            </w:r>
            <w:r w:rsidRPr="00315C7A">
              <w:rPr>
                <w:bCs/>
              </w:rPr>
              <w:t>s per slot</w:t>
            </w:r>
          </w:p>
        </w:tc>
        <w:tc>
          <w:tcPr>
            <w:tcW w:w="3312" w:type="dxa"/>
            <w:gridSpan w:val="4"/>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14:paraId="3ED116E9" w14:textId="77777777" w:rsidR="00F43E02" w:rsidRPr="00315C7A" w:rsidRDefault="00F43E02" w:rsidP="002477C6">
            <w:pPr>
              <w:jc w:val="center"/>
            </w:pPr>
            <w:r w:rsidRPr="00315C7A">
              <w:rPr>
                <w:bCs/>
              </w:rPr>
              <w:t>S</w:t>
            </w:r>
            <w:r>
              <w:rPr>
                <w:bCs/>
              </w:rPr>
              <w:t>ub-carrier spacing</w:t>
            </w:r>
          </w:p>
        </w:tc>
      </w:tr>
      <w:tr w:rsidR="00F43E02" w:rsidRPr="00315C7A" w14:paraId="50EF1D45" w14:textId="77777777" w:rsidTr="002477C6">
        <w:trPr>
          <w:trHeight w:val="303"/>
          <w:jc w:val="center"/>
        </w:trPr>
        <w:tc>
          <w:tcPr>
            <w:tcW w:w="3907" w:type="dxa"/>
            <w:vMerge/>
            <w:tcBorders>
              <w:left w:val="single" w:sz="8" w:space="0" w:color="FFFFFF"/>
              <w:bottom w:val="single" w:sz="24" w:space="0" w:color="FFFFFF"/>
              <w:right w:val="single" w:sz="8" w:space="0" w:color="FFFFFF"/>
            </w:tcBorders>
            <w:vAlign w:val="center"/>
            <w:hideMark/>
          </w:tcPr>
          <w:p w14:paraId="28FD431F" w14:textId="77777777" w:rsidR="00F43E02" w:rsidRPr="00315C7A" w:rsidRDefault="00F43E02" w:rsidP="002477C6">
            <w:pPr>
              <w:jc w:val="center"/>
            </w:pPr>
          </w:p>
        </w:tc>
        <w:tc>
          <w:tcPr>
            <w:tcW w:w="825" w:type="dxa"/>
            <w:tcBorders>
              <w:top w:val="single" w:sz="24" w:space="0" w:color="FFFFFF"/>
              <w:left w:val="single" w:sz="24"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1704C552" w14:textId="77777777" w:rsidR="00F43E02" w:rsidRPr="00315C7A" w:rsidRDefault="00F43E02" w:rsidP="002477C6">
            <w:pPr>
              <w:jc w:val="center"/>
            </w:pPr>
            <w:r w:rsidRPr="00315C7A">
              <w:t>15kHz</w:t>
            </w:r>
          </w:p>
        </w:tc>
        <w:tc>
          <w:tcPr>
            <w:tcW w:w="81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2D129216" w14:textId="77777777" w:rsidR="00F43E02" w:rsidRPr="00315C7A" w:rsidRDefault="00F43E02" w:rsidP="002477C6">
            <w:pPr>
              <w:jc w:val="center"/>
            </w:pPr>
            <w:r w:rsidRPr="00315C7A">
              <w:t>30kHz</w:t>
            </w:r>
          </w:p>
        </w:tc>
        <w:tc>
          <w:tcPr>
            <w:tcW w:w="817"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3C7B31C8" w14:textId="77777777" w:rsidR="00F43E02" w:rsidRPr="00315C7A" w:rsidRDefault="00F43E02" w:rsidP="002477C6">
            <w:pPr>
              <w:jc w:val="center"/>
            </w:pPr>
            <w:r w:rsidRPr="00315C7A">
              <w:t>60kHz</w:t>
            </w:r>
          </w:p>
        </w:tc>
        <w:tc>
          <w:tcPr>
            <w:tcW w:w="86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5D318CB0" w14:textId="77777777" w:rsidR="00F43E02" w:rsidRPr="00315C7A" w:rsidRDefault="00F43E02" w:rsidP="002477C6">
            <w:pPr>
              <w:jc w:val="center"/>
            </w:pPr>
            <w:r w:rsidRPr="00315C7A">
              <w:t>120kHz</w:t>
            </w:r>
          </w:p>
        </w:tc>
      </w:tr>
      <w:tr w:rsidR="00F43E02" w:rsidRPr="00315C7A" w14:paraId="669A70A0" w14:textId="77777777" w:rsidTr="002477C6">
        <w:trPr>
          <w:trHeight w:val="303"/>
          <w:jc w:val="center"/>
        </w:trPr>
        <w:tc>
          <w:tcPr>
            <w:tcW w:w="3907" w:type="dxa"/>
            <w:tcBorders>
              <w:top w:val="single" w:sz="24" w:space="0" w:color="FFFFFF"/>
              <w:left w:val="single" w:sz="8" w:space="0" w:color="FFFFFF"/>
              <w:right w:val="single" w:sz="8" w:space="0" w:color="FFFFFF"/>
            </w:tcBorders>
            <w:shd w:val="clear" w:color="auto" w:fill="1D9A78"/>
            <w:tcMar>
              <w:top w:w="15" w:type="dxa"/>
              <w:left w:w="108" w:type="dxa"/>
              <w:bottom w:w="0" w:type="dxa"/>
              <w:right w:w="108" w:type="dxa"/>
            </w:tcMar>
            <w:vAlign w:val="center"/>
            <w:hideMark/>
          </w:tcPr>
          <w:p w14:paraId="0042B809" w14:textId="4E4AC68D" w:rsidR="00F43E02" w:rsidRDefault="00F43E02" w:rsidP="002477C6">
            <w:pPr>
              <w:jc w:val="center"/>
              <w:rPr>
                <w:bCs/>
              </w:rPr>
            </w:pPr>
            <w:r>
              <w:rPr>
                <w:bCs/>
              </w:rPr>
              <w:t>Case 1 and Case 2 (Dec 2017 version of Rel-15)</w:t>
            </w:r>
          </w:p>
        </w:tc>
        <w:tc>
          <w:tcPr>
            <w:tcW w:w="82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1A9AEE30" w14:textId="77777777" w:rsidR="00F43E02" w:rsidRPr="00315C7A" w:rsidRDefault="00F43E02" w:rsidP="002477C6">
            <w:pPr>
              <w:jc w:val="center"/>
            </w:pPr>
            <w:r>
              <w:rPr>
                <w:bCs/>
              </w:rPr>
              <w:t>56</w:t>
            </w:r>
          </w:p>
        </w:tc>
        <w:tc>
          <w:tcPr>
            <w:tcW w:w="81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44B074C4" w14:textId="77777777" w:rsidR="00F43E02" w:rsidRPr="00315C7A" w:rsidRDefault="00F43E02" w:rsidP="002477C6">
            <w:pPr>
              <w:jc w:val="center"/>
            </w:pPr>
            <w:r>
              <w:rPr>
                <w:bCs/>
              </w:rPr>
              <w:t>56</w:t>
            </w:r>
          </w:p>
        </w:tc>
        <w:tc>
          <w:tcPr>
            <w:tcW w:w="817"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407C566E" w14:textId="77777777" w:rsidR="00F43E02" w:rsidRPr="00315C7A" w:rsidRDefault="00F43E02" w:rsidP="002477C6">
            <w:pPr>
              <w:jc w:val="center"/>
            </w:pPr>
            <w:r>
              <w:rPr>
                <w:bCs/>
              </w:rPr>
              <w:t>48</w:t>
            </w:r>
          </w:p>
        </w:tc>
        <w:tc>
          <w:tcPr>
            <w:tcW w:w="86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7D0C9419" w14:textId="77777777" w:rsidR="00F43E02" w:rsidRPr="00315C7A" w:rsidRDefault="00F43E02" w:rsidP="002477C6">
            <w:pPr>
              <w:jc w:val="center"/>
            </w:pPr>
            <w:r>
              <w:rPr>
                <w:bCs/>
              </w:rPr>
              <w:t>32</w:t>
            </w:r>
          </w:p>
        </w:tc>
      </w:tr>
    </w:tbl>
    <w:p w14:paraId="4DDF998B" w14:textId="77777777" w:rsidR="00F43E02" w:rsidRDefault="00F43E02" w:rsidP="00F43E02">
      <w:pPr>
        <w:pStyle w:val="BodyText"/>
      </w:pPr>
    </w:p>
    <w:p w14:paraId="16124729" w14:textId="372976C5" w:rsidR="00F43E02" w:rsidRDefault="00F43E02" w:rsidP="00F43E02">
      <w:pPr>
        <w:pStyle w:val="BodyText"/>
      </w:pPr>
      <w:r>
        <w:t>For the June 2018 version of Rel-15, the CCE limits for Case 2 still need to be defined. While for BD there was no explicit agreement on differentiation between the December 2017 version and the June 2018 version, it makes sense to discuss these BD and CCE limits for Case 2 in the June 2018 version together, considering the natural relation between them, as well as the introduction of</w:t>
      </w:r>
      <w:r w:rsidR="00377E9C">
        <w:t xml:space="preserve"> other NR features such as</w:t>
      </w:r>
      <w:r>
        <w:t xml:space="preserve"> URLLC</w:t>
      </w:r>
      <w:r w:rsidR="00377E9C">
        <w:t xml:space="preserve"> and NR-U</w:t>
      </w:r>
      <w:r>
        <w:t xml:space="preserve"> that will increase the need both for additional BDs and CCEs.</w:t>
      </w:r>
    </w:p>
    <w:p w14:paraId="5640A551" w14:textId="775564DB" w:rsidR="00F43E02" w:rsidRDefault="00F43E02" w:rsidP="00F43E02">
      <w:pPr>
        <w:pStyle w:val="Heading3"/>
      </w:pPr>
      <w:r>
        <w:t>2.6.2</w:t>
      </w:r>
      <w:r>
        <w:tab/>
        <w:t>Requirements for sTTI and URLLC for LTE</w:t>
      </w:r>
    </w:p>
    <w:p w14:paraId="091301D3" w14:textId="5715F7A9" w:rsidR="00F43E02" w:rsidRDefault="00F43E02" w:rsidP="00F43E02">
      <w:pPr>
        <w:pStyle w:val="BodyText"/>
      </w:pPr>
      <w:r>
        <w:t xml:space="preserve">For LTE, short TTI has been specified recently. Short TTIs of either one slot (corresponding to two PDCCH monitoring occasions per 1 ms sub-frame) or 2/3 OS (corresponding to six monitoring occasions per sub-frame) are supported. Due to the similarities with Case 2 for NR, it </w:t>
      </w:r>
      <w:r w:rsidR="00BE5B6C">
        <w:t xml:space="preserve">is </w:t>
      </w:r>
      <w:r>
        <w:t>interesting to review the BD requirements of the sTTI capable UE in this context. The requirements are summarized in the table below:</w:t>
      </w:r>
    </w:p>
    <w:p w14:paraId="3939B69F" w14:textId="77777777" w:rsidR="00F43E02" w:rsidRDefault="00F43E02" w:rsidP="00F43E02">
      <w:pPr>
        <w:pStyle w:val="BodyText"/>
      </w:pPr>
    </w:p>
    <w:tbl>
      <w:tblPr>
        <w:tblW w:w="8246" w:type="dxa"/>
        <w:jc w:val="center"/>
        <w:tblCellMar>
          <w:left w:w="0" w:type="dxa"/>
          <w:right w:w="0" w:type="dxa"/>
        </w:tblCellMar>
        <w:tblLook w:val="04A0" w:firstRow="1" w:lastRow="0" w:firstColumn="1" w:lastColumn="0" w:noHBand="0" w:noVBand="1"/>
      </w:tblPr>
      <w:tblGrid>
        <w:gridCol w:w="1719"/>
        <w:gridCol w:w="1579"/>
        <w:gridCol w:w="858"/>
        <w:gridCol w:w="859"/>
        <w:gridCol w:w="1678"/>
        <w:gridCol w:w="1553"/>
      </w:tblGrid>
      <w:tr w:rsidR="00F43E02" w:rsidRPr="00315C7A" w14:paraId="004C521F" w14:textId="77777777" w:rsidTr="002477C6">
        <w:trPr>
          <w:trHeight w:val="522"/>
          <w:jc w:val="center"/>
        </w:trPr>
        <w:tc>
          <w:tcPr>
            <w:tcW w:w="1719" w:type="dxa"/>
            <w:vMerge w:val="restart"/>
            <w:tcBorders>
              <w:top w:val="single" w:sz="8" w:space="0" w:color="FFFFFF"/>
              <w:left w:val="single" w:sz="8" w:space="0" w:color="FFFFFF"/>
              <w:right w:val="single" w:sz="8" w:space="0" w:color="FFFFFF"/>
            </w:tcBorders>
            <w:shd w:val="clear" w:color="auto" w:fill="1D9A78"/>
            <w:tcMar>
              <w:top w:w="15" w:type="dxa"/>
              <w:left w:w="108" w:type="dxa"/>
              <w:bottom w:w="0" w:type="dxa"/>
              <w:right w:w="108" w:type="dxa"/>
            </w:tcMar>
            <w:vAlign w:val="center"/>
            <w:hideMark/>
          </w:tcPr>
          <w:p w14:paraId="761FC9B9" w14:textId="77777777" w:rsidR="00F43E02" w:rsidRPr="00315C7A" w:rsidRDefault="00F43E02" w:rsidP="002477C6">
            <w:pPr>
              <w:keepNext/>
              <w:jc w:val="center"/>
            </w:pPr>
            <w:r>
              <w:rPr>
                <w:bCs/>
              </w:rPr>
              <w:t>Case</w:t>
            </w:r>
          </w:p>
        </w:tc>
        <w:tc>
          <w:tcPr>
            <w:tcW w:w="1579" w:type="dxa"/>
            <w:vMerge w:val="restart"/>
            <w:tcBorders>
              <w:top w:val="single" w:sz="8" w:space="0" w:color="FFFFFF"/>
              <w:left w:val="single" w:sz="8" w:space="0" w:color="FFFFFF"/>
              <w:right w:val="single" w:sz="8" w:space="0" w:color="FFFFFF"/>
            </w:tcBorders>
            <w:shd w:val="clear" w:color="auto" w:fill="1D9A78"/>
            <w:vAlign w:val="center"/>
          </w:tcPr>
          <w:p w14:paraId="3C8AC7DA" w14:textId="77777777" w:rsidR="00F43E02" w:rsidRPr="00315C7A" w:rsidRDefault="00F43E02" w:rsidP="002477C6">
            <w:pPr>
              <w:keepNext/>
              <w:jc w:val="center"/>
            </w:pPr>
            <w:r>
              <w:t>Monitoring occasions per 1 ms</w:t>
            </w:r>
          </w:p>
        </w:tc>
        <w:tc>
          <w:tcPr>
            <w:tcW w:w="1717" w:type="dxa"/>
            <w:gridSpan w:val="2"/>
            <w:tcBorders>
              <w:top w:val="single" w:sz="8" w:space="0" w:color="FFFFFF"/>
              <w:left w:val="single" w:sz="8" w:space="0" w:color="FFFFFF"/>
              <w:bottom w:val="single" w:sz="24" w:space="0" w:color="FFFFFF"/>
              <w:right w:val="single" w:sz="8" w:space="0" w:color="FFFFFF"/>
            </w:tcBorders>
            <w:shd w:val="clear" w:color="auto" w:fill="1D9A78"/>
            <w:vAlign w:val="center"/>
          </w:tcPr>
          <w:p w14:paraId="3321C399" w14:textId="77777777" w:rsidR="00F43E02" w:rsidRPr="00315C7A" w:rsidRDefault="00F43E02" w:rsidP="002477C6">
            <w:pPr>
              <w:keepNext/>
              <w:jc w:val="center"/>
            </w:pPr>
            <w:r>
              <w:t>1 ms DCI monitoring</w:t>
            </w:r>
          </w:p>
        </w:tc>
        <w:tc>
          <w:tcPr>
            <w:tcW w:w="1678" w:type="dxa"/>
            <w:vMerge w:val="restart"/>
            <w:tcBorders>
              <w:top w:val="single" w:sz="8" w:space="0" w:color="FFFFFF"/>
              <w:left w:val="single" w:sz="8" w:space="0" w:color="FFFFFF"/>
              <w:right w:val="single" w:sz="8" w:space="0" w:color="FFFFFF"/>
            </w:tcBorders>
            <w:shd w:val="clear" w:color="auto" w:fill="1D9A78"/>
            <w:vAlign w:val="center"/>
          </w:tcPr>
          <w:p w14:paraId="31599069" w14:textId="77777777" w:rsidR="00F43E02" w:rsidRPr="00315C7A" w:rsidRDefault="00F43E02" w:rsidP="002477C6">
            <w:pPr>
              <w:keepNext/>
              <w:jc w:val="center"/>
            </w:pPr>
            <w:r>
              <w:t>sTTI DCI monitoring (USS)</w:t>
            </w:r>
          </w:p>
        </w:tc>
        <w:tc>
          <w:tcPr>
            <w:tcW w:w="1553" w:type="dxa"/>
            <w:vMerge w:val="restart"/>
            <w:tcBorders>
              <w:top w:val="single" w:sz="8" w:space="0" w:color="FFFFFF"/>
              <w:left w:val="single" w:sz="8" w:space="0" w:color="FFFFFF"/>
              <w:right w:val="single" w:sz="8" w:space="0" w:color="FFFFFF"/>
            </w:tcBorders>
            <w:shd w:val="clear" w:color="auto" w:fill="1D9A78"/>
            <w:vAlign w:val="center"/>
          </w:tcPr>
          <w:p w14:paraId="5405DF17" w14:textId="77777777" w:rsidR="00F43E02" w:rsidRDefault="00F43E02" w:rsidP="002477C6">
            <w:pPr>
              <w:keepNext/>
              <w:jc w:val="center"/>
            </w:pPr>
            <w:r>
              <w:t>Total</w:t>
            </w:r>
          </w:p>
        </w:tc>
      </w:tr>
      <w:tr w:rsidR="00F43E02" w:rsidRPr="00315C7A" w14:paraId="1D97405C" w14:textId="77777777" w:rsidTr="002477C6">
        <w:trPr>
          <w:trHeight w:val="269"/>
          <w:jc w:val="center"/>
        </w:trPr>
        <w:tc>
          <w:tcPr>
            <w:tcW w:w="1719" w:type="dxa"/>
            <w:vMerge/>
            <w:tcBorders>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tcPr>
          <w:p w14:paraId="0AF71DCC" w14:textId="77777777" w:rsidR="00F43E02" w:rsidRDefault="00F43E02" w:rsidP="002477C6">
            <w:pPr>
              <w:keepNext/>
              <w:jc w:val="center"/>
              <w:rPr>
                <w:bCs/>
              </w:rPr>
            </w:pPr>
          </w:p>
        </w:tc>
        <w:tc>
          <w:tcPr>
            <w:tcW w:w="1579" w:type="dxa"/>
            <w:vMerge/>
            <w:tcBorders>
              <w:left w:val="single" w:sz="8" w:space="0" w:color="FFFFFF"/>
              <w:bottom w:val="single" w:sz="24" w:space="0" w:color="FFFFFF"/>
              <w:right w:val="single" w:sz="8" w:space="0" w:color="FFFFFF"/>
            </w:tcBorders>
            <w:shd w:val="clear" w:color="auto" w:fill="1D9A78"/>
            <w:vAlign w:val="center"/>
          </w:tcPr>
          <w:p w14:paraId="453EC6DE" w14:textId="77777777" w:rsidR="00F43E02" w:rsidRDefault="00F43E02" w:rsidP="002477C6">
            <w:pPr>
              <w:keepNext/>
              <w:jc w:val="center"/>
            </w:pPr>
          </w:p>
        </w:tc>
        <w:tc>
          <w:tcPr>
            <w:tcW w:w="858" w:type="dxa"/>
            <w:tcBorders>
              <w:top w:val="single" w:sz="8" w:space="0" w:color="FFFFFF"/>
              <w:left w:val="single" w:sz="8" w:space="0" w:color="FFFFFF"/>
              <w:bottom w:val="single" w:sz="24" w:space="0" w:color="FFFFFF"/>
              <w:right w:val="single" w:sz="8" w:space="0" w:color="FFFFFF"/>
            </w:tcBorders>
            <w:shd w:val="clear" w:color="auto" w:fill="1D9A78"/>
            <w:vAlign w:val="center"/>
          </w:tcPr>
          <w:p w14:paraId="14601DDD" w14:textId="77777777" w:rsidR="00F43E02" w:rsidRDefault="00F43E02" w:rsidP="002477C6">
            <w:pPr>
              <w:keepNext/>
              <w:jc w:val="center"/>
            </w:pPr>
            <w:r>
              <w:t>CSS</w:t>
            </w:r>
          </w:p>
        </w:tc>
        <w:tc>
          <w:tcPr>
            <w:tcW w:w="859" w:type="dxa"/>
            <w:tcBorders>
              <w:top w:val="single" w:sz="8" w:space="0" w:color="FFFFFF"/>
              <w:left w:val="single" w:sz="8" w:space="0" w:color="FFFFFF"/>
              <w:bottom w:val="single" w:sz="24" w:space="0" w:color="FFFFFF"/>
              <w:right w:val="single" w:sz="8" w:space="0" w:color="FFFFFF"/>
            </w:tcBorders>
            <w:shd w:val="clear" w:color="auto" w:fill="1D9A78"/>
            <w:vAlign w:val="center"/>
          </w:tcPr>
          <w:p w14:paraId="46666F11" w14:textId="77777777" w:rsidR="00F43E02" w:rsidRDefault="00F43E02" w:rsidP="002477C6">
            <w:pPr>
              <w:keepNext/>
              <w:jc w:val="center"/>
            </w:pPr>
            <w:r>
              <w:t>USS</w:t>
            </w:r>
          </w:p>
        </w:tc>
        <w:tc>
          <w:tcPr>
            <w:tcW w:w="1678" w:type="dxa"/>
            <w:vMerge/>
            <w:tcBorders>
              <w:left w:val="single" w:sz="8" w:space="0" w:color="FFFFFF"/>
              <w:bottom w:val="single" w:sz="24" w:space="0" w:color="FFFFFF"/>
              <w:right w:val="single" w:sz="8" w:space="0" w:color="FFFFFF"/>
            </w:tcBorders>
            <w:shd w:val="clear" w:color="auto" w:fill="1D9A78"/>
            <w:vAlign w:val="center"/>
          </w:tcPr>
          <w:p w14:paraId="62BFB976" w14:textId="77777777" w:rsidR="00F43E02" w:rsidRDefault="00F43E02" w:rsidP="002477C6">
            <w:pPr>
              <w:keepNext/>
              <w:jc w:val="center"/>
            </w:pPr>
          </w:p>
        </w:tc>
        <w:tc>
          <w:tcPr>
            <w:tcW w:w="1553" w:type="dxa"/>
            <w:vMerge/>
            <w:tcBorders>
              <w:left w:val="single" w:sz="8" w:space="0" w:color="FFFFFF"/>
              <w:bottom w:val="single" w:sz="24" w:space="0" w:color="FFFFFF"/>
              <w:right w:val="single" w:sz="8" w:space="0" w:color="FFFFFF"/>
            </w:tcBorders>
            <w:shd w:val="clear" w:color="auto" w:fill="1D9A78"/>
            <w:vAlign w:val="center"/>
          </w:tcPr>
          <w:p w14:paraId="703ADF59" w14:textId="77777777" w:rsidR="00F43E02" w:rsidRDefault="00F43E02" w:rsidP="002477C6">
            <w:pPr>
              <w:keepNext/>
              <w:jc w:val="center"/>
            </w:pPr>
          </w:p>
        </w:tc>
      </w:tr>
      <w:tr w:rsidR="00F43E02" w:rsidRPr="00315C7A" w14:paraId="27FD96A3" w14:textId="77777777" w:rsidTr="002477C6">
        <w:trPr>
          <w:trHeight w:val="303"/>
          <w:jc w:val="center"/>
        </w:trPr>
        <w:tc>
          <w:tcPr>
            <w:tcW w:w="1719" w:type="dxa"/>
            <w:tcBorders>
              <w:top w:val="single" w:sz="24" w:space="0" w:color="FFFFFF"/>
              <w:left w:val="single" w:sz="24"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14:paraId="4E8CD9F8" w14:textId="77777777" w:rsidR="00F43E02" w:rsidRPr="00315C7A" w:rsidRDefault="00F43E02" w:rsidP="002477C6">
            <w:pPr>
              <w:keepNext/>
              <w:jc w:val="center"/>
            </w:pPr>
            <w:r>
              <w:t>No sTTI</w:t>
            </w:r>
          </w:p>
        </w:tc>
        <w:tc>
          <w:tcPr>
            <w:tcW w:w="1579"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14:paraId="0C92E30D" w14:textId="77777777" w:rsidR="00F43E02" w:rsidRPr="00315C7A" w:rsidRDefault="00F43E02" w:rsidP="002477C6">
            <w:pPr>
              <w:keepNext/>
              <w:jc w:val="center"/>
            </w:pPr>
            <w:r>
              <w:t>1</w:t>
            </w:r>
          </w:p>
        </w:tc>
        <w:tc>
          <w:tcPr>
            <w:tcW w:w="858"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14:paraId="7A1D2909" w14:textId="77777777" w:rsidR="00F43E02" w:rsidRPr="00315C7A" w:rsidRDefault="00F43E02" w:rsidP="002477C6">
            <w:pPr>
              <w:keepNext/>
              <w:jc w:val="center"/>
            </w:pPr>
            <w:r>
              <w:t>12</w:t>
            </w:r>
          </w:p>
        </w:tc>
        <w:tc>
          <w:tcPr>
            <w:tcW w:w="859" w:type="dxa"/>
            <w:tcBorders>
              <w:top w:val="single" w:sz="24" w:space="0" w:color="FFFFFF"/>
              <w:left w:val="single" w:sz="8" w:space="0" w:color="FFFFFF"/>
              <w:bottom w:val="single" w:sz="8" w:space="0" w:color="FFFFFF"/>
              <w:right w:val="single" w:sz="8" w:space="0" w:color="FFFFFF"/>
            </w:tcBorders>
            <w:shd w:val="clear" w:color="auto" w:fill="CCDED6"/>
            <w:vAlign w:val="center"/>
          </w:tcPr>
          <w:p w14:paraId="4BBC2AC4" w14:textId="77777777" w:rsidR="00F43E02" w:rsidRPr="00315C7A" w:rsidRDefault="00F43E02" w:rsidP="002477C6">
            <w:pPr>
              <w:keepNext/>
              <w:jc w:val="center"/>
            </w:pPr>
            <w:r>
              <w:t>32</w:t>
            </w:r>
          </w:p>
        </w:tc>
        <w:tc>
          <w:tcPr>
            <w:tcW w:w="1678"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14:paraId="0CC17BA5" w14:textId="77777777" w:rsidR="00F43E02" w:rsidRPr="00315C7A" w:rsidRDefault="00F43E02" w:rsidP="002477C6">
            <w:pPr>
              <w:keepNext/>
              <w:jc w:val="center"/>
            </w:pPr>
            <w:r>
              <w:t>-</w:t>
            </w:r>
          </w:p>
        </w:tc>
        <w:tc>
          <w:tcPr>
            <w:tcW w:w="1553" w:type="dxa"/>
            <w:tcBorders>
              <w:top w:val="single" w:sz="24" w:space="0" w:color="FFFFFF"/>
              <w:left w:val="single" w:sz="8" w:space="0" w:color="FFFFFF"/>
              <w:bottom w:val="single" w:sz="8" w:space="0" w:color="FFFFFF"/>
              <w:right w:val="single" w:sz="8" w:space="0" w:color="FFFFFF"/>
            </w:tcBorders>
            <w:shd w:val="clear" w:color="auto" w:fill="CCDED6"/>
            <w:vAlign w:val="center"/>
          </w:tcPr>
          <w:p w14:paraId="75B125A1" w14:textId="77777777" w:rsidR="00F43E02" w:rsidRPr="00315C7A" w:rsidRDefault="00F43E02" w:rsidP="002477C6">
            <w:pPr>
              <w:keepNext/>
              <w:jc w:val="center"/>
            </w:pPr>
            <w:r>
              <w:t>44</w:t>
            </w:r>
          </w:p>
        </w:tc>
      </w:tr>
      <w:tr w:rsidR="00F43E02" w:rsidRPr="00315C7A" w14:paraId="68521501" w14:textId="77777777" w:rsidTr="002477C6">
        <w:trPr>
          <w:trHeight w:val="303"/>
          <w:jc w:val="center"/>
        </w:trPr>
        <w:tc>
          <w:tcPr>
            <w:tcW w:w="1719"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4688BC83" w14:textId="77777777" w:rsidR="00F43E02" w:rsidRPr="00315C7A" w:rsidRDefault="00F43E02" w:rsidP="002477C6">
            <w:pPr>
              <w:keepNext/>
              <w:jc w:val="center"/>
            </w:pPr>
            <w:r>
              <w:t>1-slot sTTI</w:t>
            </w:r>
          </w:p>
        </w:tc>
        <w:tc>
          <w:tcPr>
            <w:tcW w:w="1579"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06B4CA81" w14:textId="77777777" w:rsidR="00F43E02" w:rsidRPr="00315C7A" w:rsidRDefault="00F43E02" w:rsidP="002477C6">
            <w:pPr>
              <w:keepNext/>
              <w:jc w:val="center"/>
            </w:pPr>
            <w:r>
              <w:t>2</w:t>
            </w:r>
          </w:p>
        </w:tc>
        <w:tc>
          <w:tcPr>
            <w:tcW w:w="858"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60C97354" w14:textId="77777777" w:rsidR="00F43E02" w:rsidRPr="00315C7A" w:rsidRDefault="00F43E02" w:rsidP="002477C6">
            <w:pPr>
              <w:keepNext/>
              <w:jc w:val="center"/>
            </w:pPr>
            <w:r>
              <w:t>12</w:t>
            </w:r>
          </w:p>
        </w:tc>
        <w:tc>
          <w:tcPr>
            <w:tcW w:w="859" w:type="dxa"/>
            <w:tcBorders>
              <w:top w:val="single" w:sz="8" w:space="0" w:color="FFFFFF"/>
              <w:left w:val="single" w:sz="8" w:space="0" w:color="FFFFFF"/>
              <w:bottom w:val="single" w:sz="8" w:space="0" w:color="FFFFFF"/>
              <w:right w:val="single" w:sz="8" w:space="0" w:color="FFFFFF"/>
            </w:tcBorders>
            <w:shd w:val="clear" w:color="auto" w:fill="E7EFEC"/>
            <w:vAlign w:val="center"/>
          </w:tcPr>
          <w:p w14:paraId="2B5A4DC3" w14:textId="77777777" w:rsidR="00F43E02" w:rsidRPr="00315C7A" w:rsidRDefault="00F43E02" w:rsidP="002477C6">
            <w:pPr>
              <w:keepNext/>
              <w:jc w:val="center"/>
            </w:pPr>
            <w:r>
              <w:t>32</w:t>
            </w:r>
          </w:p>
        </w:tc>
        <w:tc>
          <w:tcPr>
            <w:tcW w:w="1678"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4265E910" w14:textId="77777777" w:rsidR="00F43E02" w:rsidRPr="00315C7A" w:rsidRDefault="00F43E02" w:rsidP="002477C6">
            <w:pPr>
              <w:keepNext/>
              <w:jc w:val="center"/>
            </w:pPr>
            <w:r>
              <w:t>24</w:t>
            </w:r>
          </w:p>
        </w:tc>
        <w:tc>
          <w:tcPr>
            <w:tcW w:w="1553" w:type="dxa"/>
            <w:tcBorders>
              <w:top w:val="single" w:sz="8" w:space="0" w:color="FFFFFF"/>
              <w:left w:val="single" w:sz="8" w:space="0" w:color="FFFFFF"/>
              <w:bottom w:val="single" w:sz="8" w:space="0" w:color="FFFFFF"/>
              <w:right w:val="single" w:sz="8" w:space="0" w:color="FFFFFF"/>
            </w:tcBorders>
            <w:shd w:val="clear" w:color="auto" w:fill="E7EFEC"/>
            <w:vAlign w:val="center"/>
          </w:tcPr>
          <w:p w14:paraId="5AAADFA1" w14:textId="77777777" w:rsidR="00F43E02" w:rsidRDefault="00F43E02" w:rsidP="002477C6">
            <w:pPr>
              <w:keepNext/>
              <w:jc w:val="center"/>
              <w:rPr>
                <w:bCs/>
              </w:rPr>
            </w:pPr>
            <w:r>
              <w:rPr>
                <w:bCs/>
              </w:rPr>
              <w:t>68</w:t>
            </w:r>
          </w:p>
        </w:tc>
      </w:tr>
      <w:tr w:rsidR="00F43E02" w:rsidRPr="00315C7A" w14:paraId="7B3054FE" w14:textId="77777777" w:rsidTr="002477C6">
        <w:trPr>
          <w:trHeight w:val="303"/>
          <w:jc w:val="center"/>
        </w:trPr>
        <w:tc>
          <w:tcPr>
            <w:tcW w:w="1719"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2FFCA852" w14:textId="77777777" w:rsidR="00F43E02" w:rsidRDefault="00F43E02" w:rsidP="002477C6">
            <w:pPr>
              <w:jc w:val="center"/>
            </w:pPr>
            <w:r>
              <w:t>2/3 OS sTTI</w:t>
            </w:r>
          </w:p>
        </w:tc>
        <w:tc>
          <w:tcPr>
            <w:tcW w:w="1579"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0AD22D48" w14:textId="77777777" w:rsidR="00F43E02" w:rsidRDefault="00F43E02" w:rsidP="002477C6">
            <w:pPr>
              <w:jc w:val="center"/>
            </w:pPr>
            <w:r>
              <w:t>6</w:t>
            </w:r>
          </w:p>
        </w:tc>
        <w:tc>
          <w:tcPr>
            <w:tcW w:w="858"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3C1FCE51" w14:textId="77777777" w:rsidR="00F43E02" w:rsidRDefault="00F43E02" w:rsidP="002477C6">
            <w:pPr>
              <w:jc w:val="center"/>
            </w:pPr>
            <w:r>
              <w:t>12</w:t>
            </w:r>
          </w:p>
        </w:tc>
        <w:tc>
          <w:tcPr>
            <w:tcW w:w="859" w:type="dxa"/>
            <w:tcBorders>
              <w:top w:val="single" w:sz="8" w:space="0" w:color="FFFFFF"/>
              <w:left w:val="single" w:sz="8" w:space="0" w:color="FFFFFF"/>
              <w:bottom w:val="single" w:sz="8" w:space="0" w:color="FFFFFF"/>
              <w:right w:val="single" w:sz="8" w:space="0" w:color="FFFFFF"/>
            </w:tcBorders>
            <w:shd w:val="clear" w:color="auto" w:fill="E7EFEC"/>
            <w:vAlign w:val="center"/>
          </w:tcPr>
          <w:p w14:paraId="2B3AC4E1" w14:textId="77777777" w:rsidR="00F43E02" w:rsidRDefault="00F43E02" w:rsidP="002477C6">
            <w:pPr>
              <w:jc w:val="center"/>
            </w:pPr>
            <w:r>
              <w:t>32</w:t>
            </w:r>
          </w:p>
        </w:tc>
        <w:tc>
          <w:tcPr>
            <w:tcW w:w="1678"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089FC236" w14:textId="77777777" w:rsidR="00F43E02" w:rsidRDefault="00F43E02" w:rsidP="002477C6">
            <w:pPr>
              <w:jc w:val="center"/>
            </w:pPr>
            <w:r>
              <w:t>36</w:t>
            </w:r>
          </w:p>
        </w:tc>
        <w:tc>
          <w:tcPr>
            <w:tcW w:w="1553" w:type="dxa"/>
            <w:tcBorders>
              <w:top w:val="single" w:sz="8" w:space="0" w:color="FFFFFF"/>
              <w:left w:val="single" w:sz="8" w:space="0" w:color="FFFFFF"/>
              <w:bottom w:val="single" w:sz="8" w:space="0" w:color="FFFFFF"/>
              <w:right w:val="single" w:sz="8" w:space="0" w:color="FFFFFF"/>
            </w:tcBorders>
            <w:shd w:val="clear" w:color="auto" w:fill="E7EFEC"/>
            <w:vAlign w:val="center"/>
          </w:tcPr>
          <w:p w14:paraId="73EA3641" w14:textId="77777777" w:rsidR="00F43E02" w:rsidRDefault="00F43E02" w:rsidP="002477C6">
            <w:pPr>
              <w:jc w:val="center"/>
              <w:rPr>
                <w:bCs/>
              </w:rPr>
            </w:pPr>
            <w:r>
              <w:rPr>
                <w:bCs/>
              </w:rPr>
              <w:t>80</w:t>
            </w:r>
          </w:p>
        </w:tc>
      </w:tr>
    </w:tbl>
    <w:p w14:paraId="08399E5F" w14:textId="77777777" w:rsidR="00F43E02" w:rsidRDefault="00F43E02" w:rsidP="00F43E02">
      <w:pPr>
        <w:pStyle w:val="BodyText"/>
      </w:pPr>
    </w:p>
    <w:p w14:paraId="257D4CFF" w14:textId="4A3D42FF" w:rsidR="00F43E02" w:rsidRDefault="00F43E02" w:rsidP="00F43E02">
      <w:pPr>
        <w:pStyle w:val="BodyText"/>
      </w:pPr>
      <w:r>
        <w:t xml:space="preserve">To meet the need for additional PDCCH decoding per sub-frame due to the shorter TTI, the BD requirements depend on the TTI. However, as a </w:t>
      </w:r>
      <w:r w:rsidR="00E76819">
        <w:t>compromise</w:t>
      </w:r>
      <w:r>
        <w:t xml:space="preserve"> to UE complexity</w:t>
      </w:r>
      <w:r w:rsidR="0063798C">
        <w:t xml:space="preserve">, </w:t>
      </w:r>
      <w:r>
        <w:t>the increase is less than proportional to the number of monitoring occasions per sub-frame.</w:t>
      </w:r>
    </w:p>
    <w:p w14:paraId="52FFAC1A" w14:textId="64AF857F" w:rsidR="00F43E02" w:rsidRDefault="00F43E02" w:rsidP="00F43E02">
      <w:pPr>
        <w:pStyle w:val="Heading3"/>
      </w:pPr>
      <w:r>
        <w:t>2.6.3</w:t>
      </w:r>
      <w:r>
        <w:tab/>
        <w:t xml:space="preserve">Proposed requirements for </w:t>
      </w:r>
      <w:r w:rsidRPr="007749BA">
        <w:t>Rel-15 June 2018 version of Case 2</w:t>
      </w:r>
    </w:p>
    <w:p w14:paraId="357A36A4" w14:textId="2734B10A" w:rsidR="00F43E02" w:rsidRDefault="003C728F" w:rsidP="003F45D6">
      <w:pPr>
        <w:pStyle w:val="BodyText"/>
      </w:pPr>
      <w:r>
        <w:t xml:space="preserve">The capability </w:t>
      </w:r>
      <w:r w:rsidR="00E76819">
        <w:t>of</w:t>
      </w:r>
      <w:r>
        <w:t xml:space="preserve"> monitor</w:t>
      </w:r>
      <w:r w:rsidR="00E76819">
        <w:t>ing</w:t>
      </w:r>
      <w:r>
        <w:t xml:space="preserve"> PDCCH candidates across the OFDM symbols within a slot is essential for operating in the unlicensed band due to the need to commence transmission after listen before talk</w:t>
      </w:r>
      <w:r w:rsidR="003F45D6">
        <w:t xml:space="preserve">. This is </w:t>
      </w:r>
      <w:r w:rsidR="003F45D6">
        <w:lastRenderedPageBreak/>
        <w:t xml:space="preserve">illustrated in Fig 1 and discussed extensively in </w:t>
      </w:r>
      <w:r w:rsidR="003F45D6">
        <w:fldChar w:fldCharType="begin"/>
      </w:r>
      <w:r w:rsidR="003F45D6">
        <w:instrText xml:space="preserve"> REF _Ref513644601 \r \h </w:instrText>
      </w:r>
      <w:r w:rsidR="003F45D6">
        <w:fldChar w:fldCharType="separate"/>
      </w:r>
      <w:r w:rsidR="00055C7C">
        <w:t>[3]</w:t>
      </w:r>
      <w:r w:rsidR="003F45D6">
        <w:fldChar w:fldCharType="end"/>
      </w:r>
      <w:r w:rsidR="003F45D6">
        <w:t xml:space="preserve">. Similarly, such capability is also needed for </w:t>
      </w:r>
      <w:r w:rsidR="002F5669">
        <w:t>URLLC services</w:t>
      </w:r>
      <w:r w:rsidR="004854FB">
        <w:t xml:space="preserve"> </w:t>
      </w:r>
      <w:r w:rsidR="004854FB">
        <w:fldChar w:fldCharType="begin"/>
      </w:r>
      <w:r w:rsidR="004854FB">
        <w:instrText xml:space="preserve"> REF _Ref513644679 \r \h </w:instrText>
      </w:r>
      <w:r w:rsidR="004854FB">
        <w:fldChar w:fldCharType="separate"/>
      </w:r>
      <w:r w:rsidR="00055C7C">
        <w:t>[4]</w:t>
      </w:r>
      <w:r w:rsidR="004854FB">
        <w:fldChar w:fldCharType="end"/>
      </w:r>
      <w:r w:rsidR="002F5669">
        <w:t>.</w:t>
      </w:r>
    </w:p>
    <w:p w14:paraId="6B544DF2" w14:textId="77777777" w:rsidR="003C728F" w:rsidRDefault="003C728F" w:rsidP="003C728F">
      <w:r>
        <w:rPr>
          <w:noProof/>
        </w:rPr>
        <w:drawing>
          <wp:inline distT="0" distB="0" distL="0" distR="0" wp14:anchorId="3D69A411" wp14:editId="18C7E32A">
            <wp:extent cx="6170119" cy="1747694"/>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93172" cy="1754224"/>
                    </a:xfrm>
                    <a:prstGeom prst="rect">
                      <a:avLst/>
                    </a:prstGeom>
                    <a:noFill/>
                  </pic:spPr>
                </pic:pic>
              </a:graphicData>
            </a:graphic>
          </wp:inline>
        </w:drawing>
      </w:r>
    </w:p>
    <w:p w14:paraId="1C3F248B" w14:textId="76843F0A" w:rsidR="003C728F" w:rsidRDefault="003C728F" w:rsidP="006969C2">
      <w:pPr>
        <w:pStyle w:val="Caption"/>
        <w:spacing w:after="240"/>
        <w:jc w:val="center"/>
      </w:pPr>
      <w:bookmarkStart w:id="16" w:name="_Ref513644164"/>
      <w:r>
        <w:t xml:space="preserve">Figure </w:t>
      </w:r>
      <w:fldSimple w:instr=" SEQ Figure \* ARABIC ">
        <w:r w:rsidR="00055C7C">
          <w:rPr>
            <w:noProof/>
          </w:rPr>
          <w:t>1</w:t>
        </w:r>
      </w:fldSimple>
      <w:bookmarkEnd w:id="16"/>
      <w:r>
        <w:tab/>
        <w:t>Example for NR-U PDSCH transmission at gNB side and PDCCH monitoring at UE side</w:t>
      </w:r>
    </w:p>
    <w:p w14:paraId="36EC61E0" w14:textId="77777777" w:rsidR="00707717" w:rsidRDefault="003C728F" w:rsidP="00F43E02">
      <w:pPr>
        <w:pStyle w:val="BodyText"/>
      </w:pPr>
      <w:r>
        <w:t xml:space="preserve">A similar approach should be taken for Case 2 of NR in the June 2018 version of Rel-15. For NR the number of monitoring occasions in a slot can be anything from 1 to 14. Rather than specifying multiple new UE capability levels it is proposed to specify one additional level of support for PDCCH blind decodes, for which the numbers are doubled compared to Case 1. </w:t>
      </w:r>
    </w:p>
    <w:p w14:paraId="2C8EF936" w14:textId="5812776A" w:rsidR="00F43E02" w:rsidRDefault="00707717" w:rsidP="00F43E02">
      <w:pPr>
        <w:pStyle w:val="BodyText"/>
      </w:pPr>
      <w:r>
        <w:t>For this additional level of support, instead of simply defining it per slot basis, it makes more sense to take into account how the BDs</w:t>
      </w:r>
      <w:r w:rsidR="005C0601">
        <w:t>/CCEs</w:t>
      </w:r>
      <w:r>
        <w:t xml:space="preserve"> are distributed in a slot for mini-slot operations. One possible choice is to define the BD</w:t>
      </w:r>
      <w:r w:rsidR="005C0601">
        <w:t>/CCE</w:t>
      </w:r>
      <w:r>
        <w:t xml:space="preserve"> limit for each half of the slot. For the first half of the slot, it is natural to assume the same number as the other cases. For the second half of the slot, assuming UE has finished processing PDCCH in the first half of the slot, the UE should have the same PDCCH processing capability in the second half of the slot. Therefore, it is reasonable to assume the same number as in the first slot.</w:t>
      </w:r>
      <w:r w:rsidR="00FF0A7E">
        <w:t xml:space="preserve"> </w:t>
      </w:r>
    </w:p>
    <w:p w14:paraId="2B752ACB" w14:textId="4084F938" w:rsidR="00FF0A7E" w:rsidRDefault="00FF0A7E" w:rsidP="00F43E02">
      <w:pPr>
        <w:pStyle w:val="BodyText"/>
      </w:pPr>
      <w:r>
        <w:t>Based on the above analysis, the corresponding increase in the BD limits is proposed:</w:t>
      </w:r>
    </w:p>
    <w:tbl>
      <w:tblPr>
        <w:tblW w:w="7219" w:type="dxa"/>
        <w:tblInd w:w="1373" w:type="dxa"/>
        <w:tblCellMar>
          <w:left w:w="0" w:type="dxa"/>
          <w:right w:w="0" w:type="dxa"/>
        </w:tblCellMar>
        <w:tblLook w:val="04A0" w:firstRow="1" w:lastRow="0" w:firstColumn="1" w:lastColumn="0" w:noHBand="0" w:noVBand="1"/>
      </w:tblPr>
      <w:tblGrid>
        <w:gridCol w:w="1953"/>
        <w:gridCol w:w="1954"/>
        <w:gridCol w:w="825"/>
        <w:gridCol w:w="810"/>
        <w:gridCol w:w="817"/>
        <w:gridCol w:w="860"/>
      </w:tblGrid>
      <w:tr w:rsidR="00F43E02" w:rsidRPr="00315C7A" w14:paraId="41A4EB6B" w14:textId="77777777" w:rsidTr="002477C6">
        <w:trPr>
          <w:trHeight w:val="303"/>
        </w:trPr>
        <w:tc>
          <w:tcPr>
            <w:tcW w:w="3907" w:type="dxa"/>
            <w:gridSpan w:val="2"/>
            <w:vMerge w:val="restart"/>
            <w:tcBorders>
              <w:top w:val="single" w:sz="8" w:space="0" w:color="FFFFFF"/>
              <w:left w:val="single" w:sz="8" w:space="0" w:color="FFFFFF"/>
              <w:right w:val="single" w:sz="8" w:space="0" w:color="FFFFFF"/>
            </w:tcBorders>
            <w:shd w:val="clear" w:color="auto" w:fill="1D9A78"/>
            <w:tcMar>
              <w:top w:w="15" w:type="dxa"/>
              <w:left w:w="108" w:type="dxa"/>
              <w:bottom w:w="0" w:type="dxa"/>
              <w:right w:w="108" w:type="dxa"/>
            </w:tcMar>
            <w:vAlign w:val="center"/>
            <w:hideMark/>
          </w:tcPr>
          <w:p w14:paraId="03FB58F9" w14:textId="77777777" w:rsidR="00F43E02" w:rsidRPr="00315C7A" w:rsidRDefault="00F43E02" w:rsidP="00F43E02">
            <w:pPr>
              <w:keepNext/>
              <w:jc w:val="center"/>
              <w:rPr>
                <w:bCs/>
              </w:rPr>
            </w:pPr>
            <w:r w:rsidRPr="00315C7A">
              <w:rPr>
                <w:bCs/>
              </w:rPr>
              <w:t xml:space="preserve">Max no. of PDCCH </w:t>
            </w:r>
            <w:r>
              <w:rPr>
                <w:bCs/>
              </w:rPr>
              <w:t>BD</w:t>
            </w:r>
            <w:r w:rsidRPr="00315C7A">
              <w:rPr>
                <w:bCs/>
              </w:rPr>
              <w:t>s per slot</w:t>
            </w:r>
          </w:p>
        </w:tc>
        <w:tc>
          <w:tcPr>
            <w:tcW w:w="3312" w:type="dxa"/>
            <w:gridSpan w:val="4"/>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14:paraId="5C90FF74" w14:textId="77777777" w:rsidR="00F43E02" w:rsidRPr="00315C7A" w:rsidRDefault="00F43E02" w:rsidP="00F43E02">
            <w:pPr>
              <w:keepNext/>
              <w:jc w:val="center"/>
            </w:pPr>
            <w:r w:rsidRPr="00315C7A">
              <w:rPr>
                <w:bCs/>
              </w:rPr>
              <w:t>S</w:t>
            </w:r>
            <w:r>
              <w:rPr>
                <w:bCs/>
              </w:rPr>
              <w:t>ub-carrier spacing</w:t>
            </w:r>
          </w:p>
        </w:tc>
      </w:tr>
      <w:tr w:rsidR="00F43E02" w:rsidRPr="00315C7A" w14:paraId="3940A89A" w14:textId="77777777" w:rsidTr="002477C6">
        <w:trPr>
          <w:trHeight w:val="303"/>
        </w:trPr>
        <w:tc>
          <w:tcPr>
            <w:tcW w:w="3907" w:type="dxa"/>
            <w:gridSpan w:val="2"/>
            <w:vMerge/>
            <w:tcBorders>
              <w:left w:val="single" w:sz="8" w:space="0" w:color="FFFFFF"/>
              <w:bottom w:val="single" w:sz="24" w:space="0" w:color="FFFFFF"/>
              <w:right w:val="single" w:sz="8" w:space="0" w:color="FFFFFF"/>
            </w:tcBorders>
            <w:vAlign w:val="center"/>
            <w:hideMark/>
          </w:tcPr>
          <w:p w14:paraId="6EE83F63" w14:textId="77777777" w:rsidR="00F43E02" w:rsidRPr="00315C7A" w:rsidRDefault="00F43E02" w:rsidP="00F43E02">
            <w:pPr>
              <w:keepNext/>
              <w:jc w:val="center"/>
            </w:pPr>
          </w:p>
        </w:tc>
        <w:tc>
          <w:tcPr>
            <w:tcW w:w="825" w:type="dxa"/>
            <w:tcBorders>
              <w:top w:val="single" w:sz="24" w:space="0" w:color="FFFFFF"/>
              <w:left w:val="single" w:sz="24"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5ED498CC" w14:textId="77777777" w:rsidR="00F43E02" w:rsidRPr="00315C7A" w:rsidRDefault="00F43E02" w:rsidP="00F43E02">
            <w:pPr>
              <w:keepNext/>
              <w:jc w:val="center"/>
            </w:pPr>
            <w:r w:rsidRPr="00315C7A">
              <w:t>15kHz</w:t>
            </w:r>
          </w:p>
        </w:tc>
        <w:tc>
          <w:tcPr>
            <w:tcW w:w="81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1CF6B03D" w14:textId="77777777" w:rsidR="00F43E02" w:rsidRPr="00315C7A" w:rsidRDefault="00F43E02" w:rsidP="00F43E02">
            <w:pPr>
              <w:keepNext/>
              <w:jc w:val="center"/>
            </w:pPr>
            <w:r w:rsidRPr="00315C7A">
              <w:t>30kHz</w:t>
            </w:r>
          </w:p>
        </w:tc>
        <w:tc>
          <w:tcPr>
            <w:tcW w:w="817"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3ED3DDBD" w14:textId="77777777" w:rsidR="00F43E02" w:rsidRPr="00315C7A" w:rsidRDefault="00F43E02" w:rsidP="00F43E02">
            <w:pPr>
              <w:keepNext/>
              <w:jc w:val="center"/>
            </w:pPr>
            <w:r w:rsidRPr="00315C7A">
              <w:t>60kHz</w:t>
            </w:r>
          </w:p>
        </w:tc>
        <w:tc>
          <w:tcPr>
            <w:tcW w:w="86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60EE83BC" w14:textId="77777777" w:rsidR="00F43E02" w:rsidRPr="00315C7A" w:rsidRDefault="00F43E02" w:rsidP="00F43E02">
            <w:pPr>
              <w:keepNext/>
              <w:jc w:val="center"/>
            </w:pPr>
            <w:r w:rsidRPr="00315C7A">
              <w:t>120kHz</w:t>
            </w:r>
          </w:p>
        </w:tc>
      </w:tr>
      <w:tr w:rsidR="00F43E02" w:rsidRPr="00315C7A" w14:paraId="4179F191" w14:textId="77777777" w:rsidTr="002477C6">
        <w:trPr>
          <w:trHeight w:val="303"/>
        </w:trPr>
        <w:tc>
          <w:tcPr>
            <w:tcW w:w="3907" w:type="dxa"/>
            <w:gridSpan w:val="2"/>
            <w:tcBorders>
              <w:top w:val="single" w:sz="24"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14:paraId="0090E59B" w14:textId="77777777" w:rsidR="00F43E02" w:rsidRDefault="00F43E02" w:rsidP="00F43E02">
            <w:pPr>
              <w:keepNext/>
              <w:jc w:val="center"/>
              <w:rPr>
                <w:bCs/>
              </w:rPr>
            </w:pPr>
            <w:r>
              <w:rPr>
                <w:bCs/>
              </w:rPr>
              <w:t xml:space="preserve">Case 1 </w:t>
            </w:r>
          </w:p>
        </w:tc>
        <w:tc>
          <w:tcPr>
            <w:tcW w:w="82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51C50DA0" w14:textId="77777777" w:rsidR="00F43E02" w:rsidRPr="00315C7A" w:rsidRDefault="00F43E02" w:rsidP="00F43E02">
            <w:pPr>
              <w:keepNext/>
              <w:jc w:val="center"/>
            </w:pPr>
            <w:r>
              <w:rPr>
                <w:bCs/>
              </w:rPr>
              <w:t>44</w:t>
            </w:r>
          </w:p>
        </w:tc>
        <w:tc>
          <w:tcPr>
            <w:tcW w:w="81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0FA89450" w14:textId="77777777" w:rsidR="00F43E02" w:rsidRPr="00315C7A" w:rsidRDefault="00F43E02" w:rsidP="00F43E02">
            <w:pPr>
              <w:keepNext/>
              <w:jc w:val="center"/>
            </w:pPr>
            <w:r>
              <w:rPr>
                <w:bCs/>
              </w:rPr>
              <w:t>36</w:t>
            </w:r>
          </w:p>
        </w:tc>
        <w:tc>
          <w:tcPr>
            <w:tcW w:w="817"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514E7031" w14:textId="77777777" w:rsidR="00F43E02" w:rsidRPr="00315C7A" w:rsidRDefault="00F43E02" w:rsidP="00F43E02">
            <w:pPr>
              <w:keepNext/>
              <w:jc w:val="center"/>
            </w:pPr>
            <w:r>
              <w:rPr>
                <w:bCs/>
              </w:rPr>
              <w:t>22</w:t>
            </w:r>
          </w:p>
        </w:tc>
        <w:tc>
          <w:tcPr>
            <w:tcW w:w="86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4932EB4E" w14:textId="77777777" w:rsidR="00F43E02" w:rsidRPr="00315C7A" w:rsidRDefault="00F43E02" w:rsidP="00F43E02">
            <w:pPr>
              <w:keepNext/>
              <w:jc w:val="center"/>
            </w:pPr>
            <w:r>
              <w:rPr>
                <w:bCs/>
              </w:rPr>
              <w:t>20</w:t>
            </w:r>
          </w:p>
        </w:tc>
      </w:tr>
      <w:tr w:rsidR="00F43E02" w:rsidRPr="00315C7A" w14:paraId="7AF0BF37" w14:textId="77777777" w:rsidTr="002477C6">
        <w:trPr>
          <w:trHeight w:val="303"/>
        </w:trPr>
        <w:tc>
          <w:tcPr>
            <w:tcW w:w="3907" w:type="dxa"/>
            <w:gridSpan w:val="2"/>
            <w:tcBorders>
              <w:top w:val="single" w:sz="24"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tcPr>
          <w:p w14:paraId="7E352688" w14:textId="576BC590" w:rsidR="00F43E02" w:rsidRDefault="00F43E02" w:rsidP="00F43E02">
            <w:pPr>
              <w:keepNext/>
              <w:jc w:val="center"/>
              <w:rPr>
                <w:bCs/>
              </w:rPr>
            </w:pPr>
            <w:r>
              <w:rPr>
                <w:bCs/>
              </w:rPr>
              <w:t>Case 2 (December 2017 version)</w:t>
            </w:r>
          </w:p>
        </w:tc>
        <w:tc>
          <w:tcPr>
            <w:tcW w:w="82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58142DF6" w14:textId="77777777" w:rsidR="00F43E02" w:rsidRDefault="00F43E02" w:rsidP="00F43E02">
            <w:pPr>
              <w:keepNext/>
              <w:jc w:val="center"/>
              <w:rPr>
                <w:bCs/>
              </w:rPr>
            </w:pPr>
            <w:r>
              <w:rPr>
                <w:bCs/>
              </w:rPr>
              <w:t>44</w:t>
            </w:r>
          </w:p>
        </w:tc>
        <w:tc>
          <w:tcPr>
            <w:tcW w:w="81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19340844" w14:textId="77777777" w:rsidR="00F43E02" w:rsidRDefault="00F43E02" w:rsidP="00F43E02">
            <w:pPr>
              <w:keepNext/>
              <w:jc w:val="center"/>
              <w:rPr>
                <w:bCs/>
              </w:rPr>
            </w:pPr>
            <w:r>
              <w:rPr>
                <w:bCs/>
              </w:rPr>
              <w:t>36</w:t>
            </w:r>
          </w:p>
        </w:tc>
        <w:tc>
          <w:tcPr>
            <w:tcW w:w="817"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7C2DE0A2" w14:textId="77777777" w:rsidR="00F43E02" w:rsidRDefault="00F43E02" w:rsidP="00F43E02">
            <w:pPr>
              <w:keepNext/>
              <w:jc w:val="center"/>
              <w:rPr>
                <w:bCs/>
              </w:rPr>
            </w:pPr>
            <w:r>
              <w:rPr>
                <w:bCs/>
              </w:rPr>
              <w:t>22</w:t>
            </w:r>
          </w:p>
        </w:tc>
        <w:tc>
          <w:tcPr>
            <w:tcW w:w="86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070F8F15" w14:textId="77777777" w:rsidR="00F43E02" w:rsidRDefault="00F43E02" w:rsidP="00F43E02">
            <w:pPr>
              <w:keepNext/>
              <w:jc w:val="center"/>
              <w:rPr>
                <w:bCs/>
              </w:rPr>
            </w:pPr>
            <w:r>
              <w:rPr>
                <w:bCs/>
              </w:rPr>
              <w:t>20</w:t>
            </w:r>
          </w:p>
        </w:tc>
      </w:tr>
      <w:tr w:rsidR="00A4302E" w:rsidRPr="00315C7A" w14:paraId="2499C454" w14:textId="77777777" w:rsidTr="00CC6E94">
        <w:trPr>
          <w:trHeight w:val="248"/>
        </w:trPr>
        <w:tc>
          <w:tcPr>
            <w:tcW w:w="1953" w:type="dxa"/>
            <w:vMerge w:val="restart"/>
            <w:tcBorders>
              <w:top w:val="single" w:sz="24" w:space="0" w:color="FFFFFF"/>
              <w:left w:val="single" w:sz="8" w:space="0" w:color="FFFFFF"/>
              <w:right w:val="single" w:sz="8" w:space="0" w:color="FFFFFF"/>
            </w:tcBorders>
            <w:shd w:val="clear" w:color="auto" w:fill="1D9A78"/>
            <w:tcMar>
              <w:top w:w="15" w:type="dxa"/>
              <w:left w:w="108" w:type="dxa"/>
              <w:bottom w:w="0" w:type="dxa"/>
              <w:right w:w="108" w:type="dxa"/>
            </w:tcMar>
            <w:vAlign w:val="center"/>
          </w:tcPr>
          <w:p w14:paraId="4AE0ECCB" w14:textId="77777777" w:rsidR="00A4302E" w:rsidRDefault="00A4302E" w:rsidP="002477C6">
            <w:pPr>
              <w:jc w:val="center"/>
              <w:rPr>
                <w:bCs/>
              </w:rPr>
            </w:pPr>
            <w:r>
              <w:rPr>
                <w:bCs/>
              </w:rPr>
              <w:t>Case 2 (June 2018 version)</w:t>
            </w:r>
          </w:p>
        </w:tc>
        <w:tc>
          <w:tcPr>
            <w:tcW w:w="1954" w:type="dxa"/>
            <w:tcBorders>
              <w:top w:val="single" w:sz="24" w:space="0" w:color="FFFFFF"/>
              <w:left w:val="single" w:sz="8" w:space="0" w:color="FFFFFF"/>
              <w:bottom w:val="single" w:sz="24" w:space="0" w:color="FFFFFF"/>
              <w:right w:val="single" w:sz="8" w:space="0" w:color="FFFFFF"/>
            </w:tcBorders>
            <w:shd w:val="clear" w:color="auto" w:fill="1D9A78"/>
            <w:vAlign w:val="center"/>
          </w:tcPr>
          <w:p w14:paraId="00E48FBB" w14:textId="2115676C" w:rsidR="00A4302E" w:rsidRPr="00026F8A" w:rsidRDefault="00A4302E" w:rsidP="002477C6">
            <w:pPr>
              <w:jc w:val="center"/>
              <w:rPr>
                <w:bCs/>
                <w:color w:val="FF0000"/>
              </w:rPr>
            </w:pPr>
            <w:r w:rsidRPr="00026F8A">
              <w:rPr>
                <w:bCs/>
                <w:color w:val="FF0000"/>
              </w:rPr>
              <w:t>1</w:t>
            </w:r>
            <w:r w:rsidRPr="00026F8A">
              <w:rPr>
                <w:bCs/>
                <w:color w:val="FF0000"/>
                <w:vertAlign w:val="superscript"/>
              </w:rPr>
              <w:t>st</w:t>
            </w:r>
            <w:r w:rsidRPr="00026F8A">
              <w:rPr>
                <w:bCs/>
                <w:color w:val="FF0000"/>
              </w:rPr>
              <w:t xml:space="preserve"> half the slot</w:t>
            </w:r>
          </w:p>
        </w:tc>
        <w:tc>
          <w:tcPr>
            <w:tcW w:w="825" w:type="dxa"/>
            <w:tcBorders>
              <w:top w:val="single" w:sz="8" w:space="0" w:color="FFFFFF"/>
              <w:left w:val="single" w:sz="8" w:space="0" w:color="FFFFFF"/>
              <w:right w:val="single" w:sz="8" w:space="0" w:color="FFFFFF"/>
            </w:tcBorders>
            <w:shd w:val="clear" w:color="auto" w:fill="E7EFEC"/>
            <w:tcMar>
              <w:top w:w="15" w:type="dxa"/>
              <w:left w:w="108" w:type="dxa"/>
              <w:bottom w:w="0" w:type="dxa"/>
              <w:right w:w="108" w:type="dxa"/>
            </w:tcMar>
            <w:vAlign w:val="center"/>
          </w:tcPr>
          <w:p w14:paraId="5B6A9807" w14:textId="6F7378A0" w:rsidR="00A4302E" w:rsidRPr="00026F8A" w:rsidRDefault="00A4302E" w:rsidP="00026F8A">
            <w:pPr>
              <w:jc w:val="center"/>
              <w:rPr>
                <w:bCs/>
                <w:color w:val="FF0000"/>
              </w:rPr>
            </w:pPr>
            <w:r w:rsidRPr="00026F8A">
              <w:rPr>
                <w:bCs/>
                <w:color w:val="FF0000"/>
              </w:rPr>
              <w:t>44</w:t>
            </w:r>
          </w:p>
        </w:tc>
        <w:tc>
          <w:tcPr>
            <w:tcW w:w="810" w:type="dxa"/>
            <w:tcBorders>
              <w:top w:val="single" w:sz="8" w:space="0" w:color="FFFFFF"/>
              <w:left w:val="single" w:sz="8" w:space="0" w:color="FFFFFF"/>
              <w:right w:val="single" w:sz="8" w:space="0" w:color="FFFFFF"/>
            </w:tcBorders>
            <w:shd w:val="clear" w:color="auto" w:fill="E7EFEC"/>
            <w:tcMar>
              <w:top w:w="15" w:type="dxa"/>
              <w:left w:w="108" w:type="dxa"/>
              <w:bottom w:w="0" w:type="dxa"/>
              <w:right w:w="108" w:type="dxa"/>
            </w:tcMar>
            <w:vAlign w:val="center"/>
          </w:tcPr>
          <w:p w14:paraId="23572CFF" w14:textId="4289F599" w:rsidR="00A4302E" w:rsidRPr="00026F8A" w:rsidRDefault="00026F8A" w:rsidP="00026F8A">
            <w:pPr>
              <w:jc w:val="center"/>
              <w:rPr>
                <w:bCs/>
                <w:color w:val="FF0000"/>
              </w:rPr>
            </w:pPr>
            <w:r w:rsidRPr="00026F8A">
              <w:rPr>
                <w:bCs/>
                <w:color w:val="FF0000"/>
              </w:rPr>
              <w:t>36</w:t>
            </w:r>
          </w:p>
        </w:tc>
        <w:tc>
          <w:tcPr>
            <w:tcW w:w="817" w:type="dxa"/>
            <w:tcBorders>
              <w:top w:val="single" w:sz="8" w:space="0" w:color="FFFFFF"/>
              <w:left w:val="single" w:sz="8" w:space="0" w:color="FFFFFF"/>
              <w:right w:val="single" w:sz="8" w:space="0" w:color="FFFFFF"/>
            </w:tcBorders>
            <w:shd w:val="clear" w:color="auto" w:fill="E7EFEC"/>
            <w:tcMar>
              <w:top w:w="15" w:type="dxa"/>
              <w:left w:w="108" w:type="dxa"/>
              <w:bottom w:w="0" w:type="dxa"/>
              <w:right w:w="108" w:type="dxa"/>
            </w:tcMar>
            <w:vAlign w:val="center"/>
          </w:tcPr>
          <w:p w14:paraId="6265F984" w14:textId="3F5EA96B" w:rsidR="00A4302E" w:rsidRPr="00026F8A" w:rsidRDefault="00026F8A" w:rsidP="00026F8A">
            <w:pPr>
              <w:jc w:val="center"/>
              <w:rPr>
                <w:bCs/>
                <w:color w:val="FF0000"/>
              </w:rPr>
            </w:pPr>
            <w:r w:rsidRPr="00026F8A">
              <w:rPr>
                <w:bCs/>
                <w:color w:val="FF0000"/>
              </w:rPr>
              <w:t>22</w:t>
            </w:r>
          </w:p>
        </w:tc>
        <w:tc>
          <w:tcPr>
            <w:tcW w:w="860" w:type="dxa"/>
            <w:tcBorders>
              <w:top w:val="single" w:sz="8" w:space="0" w:color="FFFFFF"/>
              <w:left w:val="single" w:sz="8" w:space="0" w:color="FFFFFF"/>
              <w:right w:val="single" w:sz="8" w:space="0" w:color="FFFFFF"/>
            </w:tcBorders>
            <w:shd w:val="clear" w:color="auto" w:fill="E7EFEC"/>
            <w:tcMar>
              <w:top w:w="15" w:type="dxa"/>
              <w:left w:w="108" w:type="dxa"/>
              <w:bottom w:w="0" w:type="dxa"/>
              <w:right w:w="108" w:type="dxa"/>
            </w:tcMar>
            <w:vAlign w:val="center"/>
          </w:tcPr>
          <w:p w14:paraId="7D2236B5" w14:textId="163BD15D" w:rsidR="00A4302E" w:rsidRPr="00026F8A" w:rsidRDefault="00026F8A" w:rsidP="00026F8A">
            <w:pPr>
              <w:jc w:val="center"/>
              <w:rPr>
                <w:bCs/>
                <w:color w:val="FF0000"/>
              </w:rPr>
            </w:pPr>
            <w:r w:rsidRPr="00026F8A">
              <w:rPr>
                <w:bCs/>
                <w:color w:val="FF0000"/>
              </w:rPr>
              <w:t>20</w:t>
            </w:r>
          </w:p>
        </w:tc>
      </w:tr>
      <w:tr w:rsidR="00A4302E" w:rsidRPr="00315C7A" w14:paraId="351A3D2C" w14:textId="77777777" w:rsidTr="00CC6E94">
        <w:trPr>
          <w:trHeight w:val="247"/>
        </w:trPr>
        <w:tc>
          <w:tcPr>
            <w:tcW w:w="1953" w:type="dxa"/>
            <w:vMerge/>
            <w:tcBorders>
              <w:left w:val="single" w:sz="8" w:space="0" w:color="FFFFFF"/>
              <w:right w:val="single" w:sz="8" w:space="0" w:color="FFFFFF"/>
            </w:tcBorders>
            <w:shd w:val="clear" w:color="auto" w:fill="1D9A78"/>
            <w:tcMar>
              <w:top w:w="15" w:type="dxa"/>
              <w:left w:w="108" w:type="dxa"/>
              <w:bottom w:w="0" w:type="dxa"/>
              <w:right w:w="108" w:type="dxa"/>
            </w:tcMar>
            <w:vAlign w:val="center"/>
          </w:tcPr>
          <w:p w14:paraId="34CBA947" w14:textId="77777777" w:rsidR="00A4302E" w:rsidRDefault="00A4302E" w:rsidP="002477C6">
            <w:pPr>
              <w:jc w:val="center"/>
              <w:rPr>
                <w:bCs/>
              </w:rPr>
            </w:pPr>
          </w:p>
        </w:tc>
        <w:tc>
          <w:tcPr>
            <w:tcW w:w="1954" w:type="dxa"/>
            <w:tcBorders>
              <w:top w:val="single" w:sz="24" w:space="0" w:color="FFFFFF"/>
              <w:left w:val="single" w:sz="8" w:space="0" w:color="FFFFFF"/>
              <w:right w:val="single" w:sz="8" w:space="0" w:color="FFFFFF"/>
            </w:tcBorders>
            <w:shd w:val="clear" w:color="auto" w:fill="1D9A78"/>
            <w:vAlign w:val="center"/>
          </w:tcPr>
          <w:p w14:paraId="0429DF57" w14:textId="2630F74A" w:rsidR="00A4302E" w:rsidRPr="00026F8A" w:rsidRDefault="00A4302E" w:rsidP="002477C6">
            <w:pPr>
              <w:jc w:val="center"/>
              <w:rPr>
                <w:bCs/>
                <w:color w:val="FF0000"/>
              </w:rPr>
            </w:pPr>
            <w:r w:rsidRPr="00026F8A">
              <w:rPr>
                <w:bCs/>
                <w:color w:val="FF0000"/>
              </w:rPr>
              <w:t>2</w:t>
            </w:r>
            <w:r w:rsidRPr="00026F8A">
              <w:rPr>
                <w:bCs/>
                <w:color w:val="FF0000"/>
                <w:vertAlign w:val="superscript"/>
              </w:rPr>
              <w:t>nd</w:t>
            </w:r>
            <w:r w:rsidRPr="00026F8A">
              <w:rPr>
                <w:bCs/>
                <w:color w:val="FF0000"/>
              </w:rPr>
              <w:t xml:space="preserve"> half the slot</w:t>
            </w:r>
          </w:p>
        </w:tc>
        <w:tc>
          <w:tcPr>
            <w:tcW w:w="825" w:type="dxa"/>
            <w:tcBorders>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5569B836" w14:textId="3DBDA8D8" w:rsidR="00A4302E" w:rsidRPr="00026F8A" w:rsidRDefault="00A4302E" w:rsidP="00026F8A">
            <w:pPr>
              <w:jc w:val="center"/>
              <w:rPr>
                <w:bCs/>
                <w:color w:val="FF0000"/>
              </w:rPr>
            </w:pPr>
            <w:r w:rsidRPr="00026F8A">
              <w:rPr>
                <w:bCs/>
                <w:color w:val="FF0000"/>
              </w:rPr>
              <w:t>44</w:t>
            </w:r>
          </w:p>
        </w:tc>
        <w:tc>
          <w:tcPr>
            <w:tcW w:w="810" w:type="dxa"/>
            <w:tcBorders>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53CCE4E1" w14:textId="7500953A" w:rsidR="00A4302E" w:rsidRPr="00026F8A" w:rsidRDefault="00026F8A" w:rsidP="00026F8A">
            <w:pPr>
              <w:jc w:val="center"/>
              <w:rPr>
                <w:bCs/>
                <w:color w:val="FF0000"/>
              </w:rPr>
            </w:pPr>
            <w:r w:rsidRPr="00026F8A">
              <w:rPr>
                <w:bCs/>
                <w:color w:val="FF0000"/>
              </w:rPr>
              <w:t>36</w:t>
            </w:r>
          </w:p>
        </w:tc>
        <w:tc>
          <w:tcPr>
            <w:tcW w:w="817" w:type="dxa"/>
            <w:tcBorders>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76756FD7" w14:textId="19F2BA01" w:rsidR="00A4302E" w:rsidRPr="00026F8A" w:rsidRDefault="00026F8A" w:rsidP="00026F8A">
            <w:pPr>
              <w:jc w:val="center"/>
              <w:rPr>
                <w:bCs/>
                <w:color w:val="FF0000"/>
              </w:rPr>
            </w:pPr>
            <w:r w:rsidRPr="00026F8A">
              <w:rPr>
                <w:bCs/>
                <w:color w:val="FF0000"/>
              </w:rPr>
              <w:t>22</w:t>
            </w:r>
          </w:p>
        </w:tc>
        <w:tc>
          <w:tcPr>
            <w:tcW w:w="860" w:type="dxa"/>
            <w:tcBorders>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12507EB9" w14:textId="74893306" w:rsidR="00A4302E" w:rsidRPr="00026F8A" w:rsidRDefault="00026F8A" w:rsidP="00026F8A">
            <w:pPr>
              <w:jc w:val="center"/>
              <w:rPr>
                <w:bCs/>
                <w:color w:val="FF0000"/>
              </w:rPr>
            </w:pPr>
            <w:r w:rsidRPr="00026F8A">
              <w:rPr>
                <w:bCs/>
                <w:color w:val="FF0000"/>
              </w:rPr>
              <w:t>20</w:t>
            </w:r>
          </w:p>
        </w:tc>
      </w:tr>
    </w:tbl>
    <w:p w14:paraId="3A0D86AF" w14:textId="683FA3B1" w:rsidR="00F43E02" w:rsidRDefault="00F43E02" w:rsidP="00F43E02">
      <w:pPr>
        <w:pStyle w:val="BodyText"/>
      </w:pPr>
    </w:p>
    <w:p w14:paraId="6C77B961" w14:textId="67D7C7AD" w:rsidR="0063798C" w:rsidRDefault="0063798C" w:rsidP="00F43E02">
      <w:pPr>
        <w:pStyle w:val="BodyText"/>
      </w:pPr>
      <w:r>
        <w:t>Similarly, a corresponding increase in the CCE limits is proposed:</w:t>
      </w:r>
    </w:p>
    <w:tbl>
      <w:tblPr>
        <w:tblW w:w="7219" w:type="dxa"/>
        <w:tblInd w:w="1373" w:type="dxa"/>
        <w:tblCellMar>
          <w:left w:w="0" w:type="dxa"/>
          <w:right w:w="0" w:type="dxa"/>
        </w:tblCellMar>
        <w:tblLook w:val="04A0" w:firstRow="1" w:lastRow="0" w:firstColumn="1" w:lastColumn="0" w:noHBand="0" w:noVBand="1"/>
      </w:tblPr>
      <w:tblGrid>
        <w:gridCol w:w="1953"/>
        <w:gridCol w:w="1954"/>
        <w:gridCol w:w="825"/>
        <w:gridCol w:w="810"/>
        <w:gridCol w:w="817"/>
        <w:gridCol w:w="860"/>
      </w:tblGrid>
      <w:tr w:rsidR="00F43E02" w:rsidRPr="00315C7A" w14:paraId="41CD7915" w14:textId="77777777" w:rsidTr="002477C6">
        <w:trPr>
          <w:trHeight w:val="303"/>
        </w:trPr>
        <w:tc>
          <w:tcPr>
            <w:tcW w:w="3907" w:type="dxa"/>
            <w:gridSpan w:val="2"/>
            <w:vMerge w:val="restart"/>
            <w:tcBorders>
              <w:top w:val="single" w:sz="8" w:space="0" w:color="FFFFFF"/>
              <w:left w:val="single" w:sz="8" w:space="0" w:color="FFFFFF"/>
              <w:right w:val="single" w:sz="8" w:space="0" w:color="FFFFFF"/>
            </w:tcBorders>
            <w:shd w:val="clear" w:color="auto" w:fill="1D9A78"/>
            <w:tcMar>
              <w:top w:w="15" w:type="dxa"/>
              <w:left w:w="108" w:type="dxa"/>
              <w:bottom w:w="0" w:type="dxa"/>
              <w:right w:w="108" w:type="dxa"/>
            </w:tcMar>
            <w:vAlign w:val="center"/>
            <w:hideMark/>
          </w:tcPr>
          <w:p w14:paraId="33F4BBF2" w14:textId="77777777" w:rsidR="00F43E02" w:rsidRPr="00315C7A" w:rsidRDefault="00F43E02" w:rsidP="00F43E02">
            <w:pPr>
              <w:keepNext/>
              <w:jc w:val="center"/>
              <w:rPr>
                <w:bCs/>
              </w:rPr>
            </w:pPr>
            <w:r w:rsidRPr="00315C7A">
              <w:rPr>
                <w:bCs/>
              </w:rPr>
              <w:t xml:space="preserve">Max no. of PDCCH </w:t>
            </w:r>
            <w:r>
              <w:rPr>
                <w:bCs/>
              </w:rPr>
              <w:t>CCEs</w:t>
            </w:r>
            <w:r w:rsidRPr="00315C7A">
              <w:rPr>
                <w:bCs/>
              </w:rPr>
              <w:t xml:space="preserve"> per slot</w:t>
            </w:r>
          </w:p>
        </w:tc>
        <w:tc>
          <w:tcPr>
            <w:tcW w:w="3312" w:type="dxa"/>
            <w:gridSpan w:val="4"/>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14:paraId="4EDAFA9F" w14:textId="77777777" w:rsidR="00F43E02" w:rsidRPr="00315C7A" w:rsidRDefault="00F43E02" w:rsidP="00F43E02">
            <w:pPr>
              <w:keepNext/>
              <w:jc w:val="center"/>
            </w:pPr>
            <w:r w:rsidRPr="00315C7A">
              <w:rPr>
                <w:bCs/>
              </w:rPr>
              <w:t>S</w:t>
            </w:r>
            <w:r>
              <w:rPr>
                <w:bCs/>
              </w:rPr>
              <w:t>ub-carrier spacing</w:t>
            </w:r>
          </w:p>
        </w:tc>
      </w:tr>
      <w:tr w:rsidR="00F43E02" w:rsidRPr="00315C7A" w14:paraId="7DFA2D39" w14:textId="77777777" w:rsidTr="002477C6">
        <w:trPr>
          <w:trHeight w:val="303"/>
        </w:trPr>
        <w:tc>
          <w:tcPr>
            <w:tcW w:w="3907" w:type="dxa"/>
            <w:gridSpan w:val="2"/>
            <w:vMerge/>
            <w:tcBorders>
              <w:left w:val="single" w:sz="8" w:space="0" w:color="FFFFFF"/>
              <w:bottom w:val="single" w:sz="24" w:space="0" w:color="FFFFFF"/>
              <w:right w:val="single" w:sz="8" w:space="0" w:color="FFFFFF"/>
            </w:tcBorders>
            <w:vAlign w:val="center"/>
            <w:hideMark/>
          </w:tcPr>
          <w:p w14:paraId="02AAF3DF" w14:textId="77777777" w:rsidR="00F43E02" w:rsidRPr="00315C7A" w:rsidRDefault="00F43E02" w:rsidP="00F43E02">
            <w:pPr>
              <w:keepNext/>
              <w:jc w:val="center"/>
            </w:pPr>
          </w:p>
        </w:tc>
        <w:tc>
          <w:tcPr>
            <w:tcW w:w="825" w:type="dxa"/>
            <w:tcBorders>
              <w:top w:val="single" w:sz="24" w:space="0" w:color="FFFFFF"/>
              <w:left w:val="single" w:sz="24"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735A724C" w14:textId="77777777" w:rsidR="00F43E02" w:rsidRPr="00315C7A" w:rsidRDefault="00F43E02" w:rsidP="00F43E02">
            <w:pPr>
              <w:keepNext/>
              <w:jc w:val="center"/>
            </w:pPr>
            <w:r w:rsidRPr="00315C7A">
              <w:t>15kHz</w:t>
            </w:r>
          </w:p>
        </w:tc>
        <w:tc>
          <w:tcPr>
            <w:tcW w:w="81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6FDFC7F8" w14:textId="77777777" w:rsidR="00F43E02" w:rsidRPr="00315C7A" w:rsidRDefault="00F43E02" w:rsidP="00F43E02">
            <w:pPr>
              <w:keepNext/>
              <w:jc w:val="center"/>
            </w:pPr>
            <w:r w:rsidRPr="00315C7A">
              <w:t>30kHz</w:t>
            </w:r>
          </w:p>
        </w:tc>
        <w:tc>
          <w:tcPr>
            <w:tcW w:w="817"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77075752" w14:textId="77777777" w:rsidR="00F43E02" w:rsidRPr="00315C7A" w:rsidRDefault="00F43E02" w:rsidP="00F43E02">
            <w:pPr>
              <w:keepNext/>
              <w:jc w:val="center"/>
            </w:pPr>
            <w:r w:rsidRPr="00315C7A">
              <w:t>60kHz</w:t>
            </w:r>
          </w:p>
        </w:tc>
        <w:tc>
          <w:tcPr>
            <w:tcW w:w="86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6FADEA15" w14:textId="77777777" w:rsidR="00F43E02" w:rsidRPr="00315C7A" w:rsidRDefault="00F43E02" w:rsidP="00F43E02">
            <w:pPr>
              <w:keepNext/>
              <w:jc w:val="center"/>
            </w:pPr>
            <w:r w:rsidRPr="00315C7A">
              <w:t>120kHz</w:t>
            </w:r>
          </w:p>
        </w:tc>
      </w:tr>
      <w:tr w:rsidR="00F43E02" w:rsidRPr="00315C7A" w14:paraId="7C396AB6" w14:textId="77777777" w:rsidTr="002477C6">
        <w:trPr>
          <w:trHeight w:val="303"/>
        </w:trPr>
        <w:tc>
          <w:tcPr>
            <w:tcW w:w="3907" w:type="dxa"/>
            <w:gridSpan w:val="2"/>
            <w:tcBorders>
              <w:top w:val="single" w:sz="24"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14:paraId="01A5DED1" w14:textId="77777777" w:rsidR="00F43E02" w:rsidRDefault="00F43E02" w:rsidP="00F43E02">
            <w:pPr>
              <w:keepNext/>
              <w:jc w:val="center"/>
              <w:rPr>
                <w:bCs/>
              </w:rPr>
            </w:pPr>
            <w:r>
              <w:rPr>
                <w:bCs/>
              </w:rPr>
              <w:t xml:space="preserve">Case 1 </w:t>
            </w:r>
          </w:p>
        </w:tc>
        <w:tc>
          <w:tcPr>
            <w:tcW w:w="82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5361BC2F" w14:textId="77777777" w:rsidR="00F43E02" w:rsidRPr="00315C7A" w:rsidRDefault="00F43E02" w:rsidP="00F43E02">
            <w:pPr>
              <w:keepNext/>
              <w:jc w:val="center"/>
            </w:pPr>
            <w:r>
              <w:t>56</w:t>
            </w:r>
          </w:p>
        </w:tc>
        <w:tc>
          <w:tcPr>
            <w:tcW w:w="81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677D431F" w14:textId="77777777" w:rsidR="00F43E02" w:rsidRPr="00315C7A" w:rsidRDefault="00F43E02" w:rsidP="00F43E02">
            <w:pPr>
              <w:keepNext/>
              <w:jc w:val="center"/>
            </w:pPr>
            <w:r>
              <w:rPr>
                <w:bCs/>
              </w:rPr>
              <w:t>56</w:t>
            </w:r>
          </w:p>
        </w:tc>
        <w:tc>
          <w:tcPr>
            <w:tcW w:w="817"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4B84DEB8" w14:textId="77777777" w:rsidR="00F43E02" w:rsidRPr="00315C7A" w:rsidRDefault="00F43E02" w:rsidP="00F43E02">
            <w:pPr>
              <w:keepNext/>
              <w:jc w:val="center"/>
            </w:pPr>
            <w:r>
              <w:rPr>
                <w:bCs/>
              </w:rPr>
              <w:t>48</w:t>
            </w:r>
          </w:p>
        </w:tc>
        <w:tc>
          <w:tcPr>
            <w:tcW w:w="86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4361063F" w14:textId="77777777" w:rsidR="00F43E02" w:rsidRPr="00315C7A" w:rsidRDefault="00F43E02" w:rsidP="00F43E02">
            <w:pPr>
              <w:keepNext/>
              <w:jc w:val="center"/>
            </w:pPr>
            <w:r>
              <w:rPr>
                <w:bCs/>
              </w:rPr>
              <w:t>32</w:t>
            </w:r>
          </w:p>
        </w:tc>
      </w:tr>
      <w:tr w:rsidR="00F43E02" w:rsidRPr="00315C7A" w14:paraId="6B31208B" w14:textId="77777777" w:rsidTr="002477C6">
        <w:trPr>
          <w:trHeight w:val="303"/>
        </w:trPr>
        <w:tc>
          <w:tcPr>
            <w:tcW w:w="3907" w:type="dxa"/>
            <w:gridSpan w:val="2"/>
            <w:tcBorders>
              <w:top w:val="single" w:sz="24"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tcPr>
          <w:p w14:paraId="41BFC16D" w14:textId="1B27D69B" w:rsidR="00F43E02" w:rsidRDefault="00F43E02" w:rsidP="00F43E02">
            <w:pPr>
              <w:keepNext/>
              <w:jc w:val="center"/>
              <w:rPr>
                <w:bCs/>
              </w:rPr>
            </w:pPr>
            <w:r>
              <w:rPr>
                <w:bCs/>
              </w:rPr>
              <w:t>Case 2 (December 2017 version)</w:t>
            </w:r>
          </w:p>
        </w:tc>
        <w:tc>
          <w:tcPr>
            <w:tcW w:w="82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746C4F6E" w14:textId="77777777" w:rsidR="00F43E02" w:rsidRDefault="00F43E02" w:rsidP="00F43E02">
            <w:pPr>
              <w:keepNext/>
              <w:jc w:val="center"/>
              <w:rPr>
                <w:bCs/>
              </w:rPr>
            </w:pPr>
            <w:r>
              <w:t>56</w:t>
            </w:r>
          </w:p>
        </w:tc>
        <w:tc>
          <w:tcPr>
            <w:tcW w:w="81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7A30312F" w14:textId="77777777" w:rsidR="00F43E02" w:rsidRDefault="00F43E02" w:rsidP="00F43E02">
            <w:pPr>
              <w:keepNext/>
              <w:jc w:val="center"/>
              <w:rPr>
                <w:bCs/>
              </w:rPr>
            </w:pPr>
            <w:r>
              <w:rPr>
                <w:bCs/>
              </w:rPr>
              <w:t>56</w:t>
            </w:r>
          </w:p>
        </w:tc>
        <w:tc>
          <w:tcPr>
            <w:tcW w:w="817"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25DBCC97" w14:textId="77777777" w:rsidR="00F43E02" w:rsidRDefault="00F43E02" w:rsidP="00F43E02">
            <w:pPr>
              <w:keepNext/>
              <w:jc w:val="center"/>
              <w:rPr>
                <w:bCs/>
              </w:rPr>
            </w:pPr>
            <w:r>
              <w:rPr>
                <w:bCs/>
              </w:rPr>
              <w:t>48</w:t>
            </w:r>
          </w:p>
        </w:tc>
        <w:tc>
          <w:tcPr>
            <w:tcW w:w="86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7C4481B6" w14:textId="77777777" w:rsidR="00F43E02" w:rsidRDefault="00F43E02" w:rsidP="00F43E02">
            <w:pPr>
              <w:keepNext/>
              <w:jc w:val="center"/>
              <w:rPr>
                <w:bCs/>
              </w:rPr>
            </w:pPr>
            <w:r>
              <w:rPr>
                <w:bCs/>
              </w:rPr>
              <w:t>32</w:t>
            </w:r>
          </w:p>
        </w:tc>
      </w:tr>
      <w:tr w:rsidR="00026F8A" w:rsidRPr="00315C7A" w14:paraId="0F59B2B9" w14:textId="77777777" w:rsidTr="00CC6E94">
        <w:trPr>
          <w:trHeight w:val="248"/>
        </w:trPr>
        <w:tc>
          <w:tcPr>
            <w:tcW w:w="1953" w:type="dxa"/>
            <w:vMerge w:val="restart"/>
            <w:tcBorders>
              <w:top w:val="single" w:sz="24" w:space="0" w:color="FFFFFF"/>
              <w:left w:val="single" w:sz="8" w:space="0" w:color="FFFFFF"/>
              <w:right w:val="single" w:sz="8" w:space="0" w:color="FFFFFF"/>
            </w:tcBorders>
            <w:shd w:val="clear" w:color="auto" w:fill="1D9A78"/>
            <w:tcMar>
              <w:top w:w="15" w:type="dxa"/>
              <w:left w:w="108" w:type="dxa"/>
              <w:bottom w:w="0" w:type="dxa"/>
              <w:right w:w="108" w:type="dxa"/>
            </w:tcMar>
            <w:vAlign w:val="center"/>
          </w:tcPr>
          <w:p w14:paraId="13D678A4" w14:textId="77777777" w:rsidR="00026F8A" w:rsidRDefault="00026F8A" w:rsidP="002477C6">
            <w:pPr>
              <w:jc w:val="center"/>
              <w:rPr>
                <w:bCs/>
              </w:rPr>
            </w:pPr>
            <w:r>
              <w:rPr>
                <w:bCs/>
              </w:rPr>
              <w:t>Case 2 (June 2018 version)</w:t>
            </w:r>
          </w:p>
        </w:tc>
        <w:tc>
          <w:tcPr>
            <w:tcW w:w="1954" w:type="dxa"/>
            <w:tcBorders>
              <w:top w:val="single" w:sz="24" w:space="0" w:color="FFFFFF"/>
              <w:left w:val="single" w:sz="8" w:space="0" w:color="FFFFFF"/>
              <w:bottom w:val="single" w:sz="24" w:space="0" w:color="FFFFFF"/>
              <w:right w:val="single" w:sz="8" w:space="0" w:color="FFFFFF"/>
            </w:tcBorders>
            <w:shd w:val="clear" w:color="auto" w:fill="1D9A78"/>
            <w:vAlign w:val="center"/>
          </w:tcPr>
          <w:p w14:paraId="56BA7765" w14:textId="6F728963" w:rsidR="00026F8A" w:rsidRPr="00026F8A" w:rsidRDefault="00026F8A" w:rsidP="002477C6">
            <w:pPr>
              <w:jc w:val="center"/>
              <w:rPr>
                <w:bCs/>
                <w:color w:val="FF0000"/>
              </w:rPr>
            </w:pPr>
            <w:r w:rsidRPr="00026F8A">
              <w:rPr>
                <w:bCs/>
                <w:color w:val="FF0000"/>
              </w:rPr>
              <w:t>1</w:t>
            </w:r>
            <w:r w:rsidRPr="00026F8A">
              <w:rPr>
                <w:bCs/>
                <w:color w:val="FF0000"/>
                <w:vertAlign w:val="superscript"/>
              </w:rPr>
              <w:t>st</w:t>
            </w:r>
            <w:r w:rsidRPr="00026F8A">
              <w:rPr>
                <w:bCs/>
                <w:color w:val="FF0000"/>
              </w:rPr>
              <w:t xml:space="preserve"> half the slot</w:t>
            </w:r>
          </w:p>
        </w:tc>
        <w:tc>
          <w:tcPr>
            <w:tcW w:w="825" w:type="dxa"/>
            <w:tcBorders>
              <w:top w:val="single" w:sz="8" w:space="0" w:color="FFFFFF"/>
              <w:left w:val="single" w:sz="8" w:space="0" w:color="FFFFFF"/>
              <w:right w:val="single" w:sz="8" w:space="0" w:color="FFFFFF"/>
            </w:tcBorders>
            <w:shd w:val="clear" w:color="auto" w:fill="E7EFEC"/>
            <w:tcMar>
              <w:top w:w="15" w:type="dxa"/>
              <w:left w:w="108" w:type="dxa"/>
              <w:bottom w:w="0" w:type="dxa"/>
              <w:right w:w="108" w:type="dxa"/>
            </w:tcMar>
            <w:vAlign w:val="center"/>
          </w:tcPr>
          <w:p w14:paraId="4A83441E" w14:textId="34C4B2B3" w:rsidR="00026F8A" w:rsidRPr="00026F8A" w:rsidRDefault="00026F8A" w:rsidP="002477C6">
            <w:pPr>
              <w:jc w:val="center"/>
              <w:rPr>
                <w:color w:val="FF0000"/>
              </w:rPr>
            </w:pPr>
            <w:r w:rsidRPr="00026F8A">
              <w:rPr>
                <w:color w:val="FF0000"/>
              </w:rPr>
              <w:t>56</w:t>
            </w:r>
          </w:p>
        </w:tc>
        <w:tc>
          <w:tcPr>
            <w:tcW w:w="810" w:type="dxa"/>
            <w:tcBorders>
              <w:top w:val="single" w:sz="8" w:space="0" w:color="FFFFFF"/>
              <w:left w:val="single" w:sz="8" w:space="0" w:color="FFFFFF"/>
              <w:right w:val="single" w:sz="8" w:space="0" w:color="FFFFFF"/>
            </w:tcBorders>
            <w:shd w:val="clear" w:color="auto" w:fill="E7EFEC"/>
            <w:tcMar>
              <w:top w:w="15" w:type="dxa"/>
              <w:left w:w="108" w:type="dxa"/>
              <w:bottom w:w="0" w:type="dxa"/>
              <w:right w:w="108" w:type="dxa"/>
            </w:tcMar>
            <w:vAlign w:val="center"/>
          </w:tcPr>
          <w:p w14:paraId="28D9185A" w14:textId="12F3409F" w:rsidR="00026F8A" w:rsidRPr="00026F8A" w:rsidRDefault="00026F8A" w:rsidP="002477C6">
            <w:pPr>
              <w:jc w:val="center"/>
              <w:rPr>
                <w:bCs/>
                <w:color w:val="FF0000"/>
              </w:rPr>
            </w:pPr>
            <w:r w:rsidRPr="00026F8A">
              <w:rPr>
                <w:bCs/>
                <w:color w:val="FF0000"/>
              </w:rPr>
              <w:t>56</w:t>
            </w:r>
          </w:p>
        </w:tc>
        <w:tc>
          <w:tcPr>
            <w:tcW w:w="817" w:type="dxa"/>
            <w:tcBorders>
              <w:top w:val="single" w:sz="8" w:space="0" w:color="FFFFFF"/>
              <w:left w:val="single" w:sz="8" w:space="0" w:color="FFFFFF"/>
              <w:right w:val="single" w:sz="8" w:space="0" w:color="FFFFFF"/>
            </w:tcBorders>
            <w:shd w:val="clear" w:color="auto" w:fill="E7EFEC"/>
            <w:tcMar>
              <w:top w:w="15" w:type="dxa"/>
              <w:left w:w="108" w:type="dxa"/>
              <w:bottom w:w="0" w:type="dxa"/>
              <w:right w:w="108" w:type="dxa"/>
            </w:tcMar>
            <w:vAlign w:val="center"/>
          </w:tcPr>
          <w:p w14:paraId="2B880C4A" w14:textId="0778510B" w:rsidR="00026F8A" w:rsidRPr="00026F8A" w:rsidRDefault="00026F8A" w:rsidP="002477C6">
            <w:pPr>
              <w:jc w:val="center"/>
              <w:rPr>
                <w:bCs/>
                <w:color w:val="FF0000"/>
              </w:rPr>
            </w:pPr>
            <w:r w:rsidRPr="00026F8A">
              <w:rPr>
                <w:bCs/>
                <w:color w:val="FF0000"/>
              </w:rPr>
              <w:t>48</w:t>
            </w:r>
          </w:p>
        </w:tc>
        <w:tc>
          <w:tcPr>
            <w:tcW w:w="860" w:type="dxa"/>
            <w:tcBorders>
              <w:top w:val="single" w:sz="8" w:space="0" w:color="FFFFFF"/>
              <w:left w:val="single" w:sz="8" w:space="0" w:color="FFFFFF"/>
              <w:right w:val="single" w:sz="8" w:space="0" w:color="FFFFFF"/>
            </w:tcBorders>
            <w:shd w:val="clear" w:color="auto" w:fill="E7EFEC"/>
            <w:tcMar>
              <w:top w:w="15" w:type="dxa"/>
              <w:left w:w="108" w:type="dxa"/>
              <w:bottom w:w="0" w:type="dxa"/>
              <w:right w:w="108" w:type="dxa"/>
            </w:tcMar>
            <w:vAlign w:val="center"/>
          </w:tcPr>
          <w:p w14:paraId="1D4C3353" w14:textId="4CE5FA94" w:rsidR="00026F8A" w:rsidRPr="00026F8A" w:rsidRDefault="00026F8A" w:rsidP="002477C6">
            <w:pPr>
              <w:jc w:val="center"/>
              <w:rPr>
                <w:bCs/>
                <w:color w:val="FF0000"/>
              </w:rPr>
            </w:pPr>
            <w:r w:rsidRPr="00026F8A">
              <w:rPr>
                <w:bCs/>
                <w:color w:val="FF0000"/>
              </w:rPr>
              <w:t>32</w:t>
            </w:r>
          </w:p>
        </w:tc>
      </w:tr>
      <w:tr w:rsidR="00026F8A" w:rsidRPr="00315C7A" w14:paraId="3D0CD082" w14:textId="77777777" w:rsidTr="00CC6E94">
        <w:trPr>
          <w:trHeight w:val="247"/>
        </w:trPr>
        <w:tc>
          <w:tcPr>
            <w:tcW w:w="1953" w:type="dxa"/>
            <w:vMerge/>
            <w:tcBorders>
              <w:left w:val="single" w:sz="8" w:space="0" w:color="FFFFFF"/>
              <w:right w:val="single" w:sz="8" w:space="0" w:color="FFFFFF"/>
            </w:tcBorders>
            <w:shd w:val="clear" w:color="auto" w:fill="1D9A78"/>
            <w:tcMar>
              <w:top w:w="15" w:type="dxa"/>
              <w:left w:w="108" w:type="dxa"/>
              <w:bottom w:w="0" w:type="dxa"/>
              <w:right w:w="108" w:type="dxa"/>
            </w:tcMar>
            <w:vAlign w:val="center"/>
          </w:tcPr>
          <w:p w14:paraId="50D7B149" w14:textId="77777777" w:rsidR="00026F8A" w:rsidRDefault="00026F8A" w:rsidP="002477C6">
            <w:pPr>
              <w:jc w:val="center"/>
              <w:rPr>
                <w:bCs/>
              </w:rPr>
            </w:pPr>
          </w:p>
        </w:tc>
        <w:tc>
          <w:tcPr>
            <w:tcW w:w="1954" w:type="dxa"/>
            <w:tcBorders>
              <w:top w:val="single" w:sz="24" w:space="0" w:color="FFFFFF"/>
              <w:left w:val="single" w:sz="8" w:space="0" w:color="FFFFFF"/>
              <w:right w:val="single" w:sz="8" w:space="0" w:color="FFFFFF"/>
            </w:tcBorders>
            <w:shd w:val="clear" w:color="auto" w:fill="1D9A78"/>
            <w:vAlign w:val="center"/>
          </w:tcPr>
          <w:p w14:paraId="7DB92B70" w14:textId="1954E8D9" w:rsidR="00026F8A" w:rsidRPr="00026F8A" w:rsidRDefault="00990E56" w:rsidP="002477C6">
            <w:pPr>
              <w:jc w:val="center"/>
              <w:rPr>
                <w:bCs/>
                <w:color w:val="FF0000"/>
              </w:rPr>
            </w:pPr>
            <w:r>
              <w:rPr>
                <w:bCs/>
                <w:color w:val="FF0000"/>
              </w:rPr>
              <w:t>2</w:t>
            </w:r>
            <w:r w:rsidRPr="00990E56">
              <w:rPr>
                <w:bCs/>
                <w:color w:val="FF0000"/>
                <w:vertAlign w:val="superscript"/>
              </w:rPr>
              <w:t>nd</w:t>
            </w:r>
            <w:r>
              <w:rPr>
                <w:bCs/>
                <w:color w:val="FF0000"/>
              </w:rPr>
              <w:t xml:space="preserve"> </w:t>
            </w:r>
            <w:r w:rsidR="00026F8A" w:rsidRPr="00026F8A">
              <w:rPr>
                <w:bCs/>
                <w:color w:val="FF0000"/>
              </w:rPr>
              <w:t>half the slot</w:t>
            </w:r>
          </w:p>
        </w:tc>
        <w:tc>
          <w:tcPr>
            <w:tcW w:w="825" w:type="dxa"/>
            <w:tcBorders>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43C4536F" w14:textId="551A79DA" w:rsidR="00026F8A" w:rsidRPr="00026F8A" w:rsidRDefault="00026F8A" w:rsidP="002477C6">
            <w:pPr>
              <w:jc w:val="center"/>
              <w:rPr>
                <w:color w:val="FF0000"/>
              </w:rPr>
            </w:pPr>
            <w:r>
              <w:rPr>
                <w:color w:val="FF0000"/>
              </w:rPr>
              <w:t>56</w:t>
            </w:r>
          </w:p>
        </w:tc>
        <w:tc>
          <w:tcPr>
            <w:tcW w:w="810" w:type="dxa"/>
            <w:tcBorders>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5DC1AAF4" w14:textId="1A6C2F74" w:rsidR="00026F8A" w:rsidRPr="00026F8A" w:rsidRDefault="00026F8A" w:rsidP="002477C6">
            <w:pPr>
              <w:jc w:val="center"/>
              <w:rPr>
                <w:bCs/>
                <w:color w:val="FF0000"/>
              </w:rPr>
            </w:pPr>
            <w:r>
              <w:rPr>
                <w:bCs/>
                <w:color w:val="FF0000"/>
              </w:rPr>
              <w:t>56</w:t>
            </w:r>
          </w:p>
        </w:tc>
        <w:tc>
          <w:tcPr>
            <w:tcW w:w="817" w:type="dxa"/>
            <w:tcBorders>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69C8467A" w14:textId="39BCB540" w:rsidR="00026F8A" w:rsidRPr="00026F8A" w:rsidRDefault="00026F8A" w:rsidP="002477C6">
            <w:pPr>
              <w:jc w:val="center"/>
              <w:rPr>
                <w:bCs/>
                <w:color w:val="FF0000"/>
              </w:rPr>
            </w:pPr>
            <w:r>
              <w:rPr>
                <w:bCs/>
                <w:color w:val="FF0000"/>
              </w:rPr>
              <w:t>48</w:t>
            </w:r>
          </w:p>
        </w:tc>
        <w:tc>
          <w:tcPr>
            <w:tcW w:w="860" w:type="dxa"/>
            <w:tcBorders>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4344AF7B" w14:textId="55336413" w:rsidR="00026F8A" w:rsidRPr="00026F8A" w:rsidRDefault="00026F8A" w:rsidP="002477C6">
            <w:pPr>
              <w:jc w:val="center"/>
              <w:rPr>
                <w:bCs/>
                <w:color w:val="FF0000"/>
              </w:rPr>
            </w:pPr>
            <w:r>
              <w:rPr>
                <w:bCs/>
                <w:color w:val="FF0000"/>
              </w:rPr>
              <w:t>32</w:t>
            </w:r>
          </w:p>
        </w:tc>
      </w:tr>
    </w:tbl>
    <w:p w14:paraId="7F2A2630" w14:textId="74A6ADE6" w:rsidR="00F43E02" w:rsidRDefault="00F43E02" w:rsidP="00F43E02">
      <w:pPr>
        <w:pStyle w:val="BodyText"/>
      </w:pPr>
    </w:p>
    <w:p w14:paraId="3A558FC4" w14:textId="381D8943" w:rsidR="00F43E02" w:rsidRPr="0031060C" w:rsidRDefault="00F43E02" w:rsidP="00F43E02">
      <w:pPr>
        <w:pStyle w:val="Proposal"/>
        <w:rPr>
          <w:lang w:val="en-US"/>
        </w:rPr>
      </w:pPr>
      <w:bookmarkStart w:id="17" w:name="_Toc513498550"/>
      <w:bookmarkStart w:id="18" w:name="_Toc513220960"/>
      <w:bookmarkStart w:id="19" w:name="_Toc513220979"/>
      <w:bookmarkStart w:id="20" w:name="_Toc513220996"/>
      <w:bookmarkStart w:id="21" w:name="_Toc513221737"/>
      <w:bookmarkStart w:id="22" w:name="_Toc513384917"/>
      <w:bookmarkStart w:id="23" w:name="_Toc513464612"/>
      <w:bookmarkStart w:id="24" w:name="_Toc513464619"/>
      <w:bookmarkStart w:id="25" w:name="_Toc513492229"/>
      <w:bookmarkStart w:id="26" w:name="_Toc513798504"/>
      <w:r w:rsidRPr="0031060C">
        <w:rPr>
          <w:lang w:val="en-US"/>
        </w:rPr>
        <w:t>For Rel</w:t>
      </w:r>
      <w:r w:rsidR="0063798C">
        <w:rPr>
          <w:lang w:val="en-US"/>
        </w:rPr>
        <w:t>-</w:t>
      </w:r>
      <w:r w:rsidRPr="0031060C">
        <w:rPr>
          <w:lang w:val="en-US"/>
        </w:rPr>
        <w:t xml:space="preserve">15 </w:t>
      </w:r>
      <w:r>
        <w:rPr>
          <w:lang w:val="en-US"/>
        </w:rPr>
        <w:t>June</w:t>
      </w:r>
      <w:r w:rsidRPr="0031060C">
        <w:rPr>
          <w:lang w:val="en-US"/>
        </w:rPr>
        <w:t xml:space="preserve"> 201</w:t>
      </w:r>
      <w:r>
        <w:rPr>
          <w:lang w:val="en-US"/>
        </w:rPr>
        <w:t>8</w:t>
      </w:r>
      <w:r w:rsidRPr="0031060C">
        <w:rPr>
          <w:lang w:val="en-US"/>
        </w:rPr>
        <w:t xml:space="preserve"> version of Case 2, </w:t>
      </w:r>
      <w:r w:rsidR="0063798C">
        <w:rPr>
          <w:lang w:val="en-US"/>
        </w:rPr>
        <w:t xml:space="preserve">the </w:t>
      </w:r>
      <w:r w:rsidRPr="0031060C">
        <w:rPr>
          <w:lang w:val="en-US"/>
        </w:rPr>
        <w:t xml:space="preserve">number of </w:t>
      </w:r>
      <w:r w:rsidR="0063798C">
        <w:rPr>
          <w:lang w:val="en-US"/>
        </w:rPr>
        <w:t xml:space="preserve">PDCCH </w:t>
      </w:r>
      <w:r>
        <w:rPr>
          <w:lang w:val="en-US"/>
        </w:rPr>
        <w:t>blind decodes</w:t>
      </w:r>
      <w:r w:rsidR="00B853AD">
        <w:rPr>
          <w:lang w:val="en-US"/>
        </w:rPr>
        <w:t xml:space="preserve"> for PDCCH monitoring occasion(s) whose first symbol(s) are</w:t>
      </w:r>
      <w:r w:rsidRPr="0031060C">
        <w:rPr>
          <w:lang w:val="en-US"/>
        </w:rPr>
        <w:t xml:space="preserve"> </w:t>
      </w:r>
      <w:r w:rsidR="00C25072">
        <w:rPr>
          <w:lang w:val="en-US"/>
        </w:rPr>
        <w:t xml:space="preserve">in the first half </w:t>
      </w:r>
      <w:r w:rsidRPr="0031060C">
        <w:rPr>
          <w:lang w:val="en-US"/>
        </w:rPr>
        <w:t>slot is {</w:t>
      </w:r>
      <w:r w:rsidR="00C25072">
        <w:rPr>
          <w:lang w:val="en-US"/>
        </w:rPr>
        <w:t xml:space="preserve">44, </w:t>
      </w:r>
      <w:r w:rsidR="00C25072">
        <w:rPr>
          <w:lang w:val="en-US"/>
        </w:rPr>
        <w:lastRenderedPageBreak/>
        <w:t>36, 22, 20}</w:t>
      </w:r>
      <w:r w:rsidRPr="0031060C">
        <w:rPr>
          <w:lang w:val="en-US"/>
        </w:rPr>
        <w:t xml:space="preserve"> for SCS {15kHz, 30kHz, 60kHz, 120kHz}</w:t>
      </w:r>
      <w:bookmarkEnd w:id="17"/>
      <w:r w:rsidR="00C25072">
        <w:rPr>
          <w:lang w:val="en-US"/>
        </w:rPr>
        <w:t xml:space="preserve">, and </w:t>
      </w:r>
      <w:r w:rsidR="00B853AD">
        <w:rPr>
          <w:lang w:val="en-US"/>
        </w:rPr>
        <w:t>for PDCCH monitoring occasion(s) whose first symbol(s) are</w:t>
      </w:r>
      <w:r w:rsidR="00B853AD" w:rsidRPr="0031060C">
        <w:rPr>
          <w:lang w:val="en-US"/>
        </w:rPr>
        <w:t xml:space="preserve"> </w:t>
      </w:r>
      <w:r w:rsidR="00C25072">
        <w:rPr>
          <w:lang w:val="en-US"/>
        </w:rPr>
        <w:t xml:space="preserve">in the second half </w:t>
      </w:r>
      <w:r w:rsidR="00C25072" w:rsidRPr="0031060C">
        <w:rPr>
          <w:lang w:val="en-US"/>
        </w:rPr>
        <w:t>slot is {</w:t>
      </w:r>
      <w:r w:rsidR="00C25072">
        <w:rPr>
          <w:lang w:val="en-US"/>
        </w:rPr>
        <w:t>44, 36, 22, 20}</w:t>
      </w:r>
      <w:r w:rsidR="00C25072" w:rsidRPr="0031060C">
        <w:rPr>
          <w:lang w:val="en-US"/>
        </w:rPr>
        <w:t xml:space="preserve"> for SCS {15kHz, 30kHz, 60kHz, 120kHz}</w:t>
      </w:r>
      <w:r w:rsidR="00C25072">
        <w:rPr>
          <w:lang w:val="en-US"/>
        </w:rPr>
        <w:t>.</w:t>
      </w:r>
      <w:bookmarkEnd w:id="26"/>
    </w:p>
    <w:p w14:paraId="7F791662" w14:textId="7BBA932E" w:rsidR="00F43E02" w:rsidRPr="00C25072" w:rsidRDefault="00F43E02" w:rsidP="00C25072">
      <w:pPr>
        <w:pStyle w:val="Proposal"/>
        <w:rPr>
          <w:lang w:val="en-US"/>
        </w:rPr>
      </w:pPr>
      <w:bookmarkStart w:id="27" w:name="_Toc513498551"/>
      <w:bookmarkStart w:id="28" w:name="_Toc513798505"/>
      <w:bookmarkEnd w:id="18"/>
      <w:bookmarkEnd w:id="19"/>
      <w:bookmarkEnd w:id="20"/>
      <w:bookmarkEnd w:id="21"/>
      <w:bookmarkEnd w:id="22"/>
      <w:bookmarkEnd w:id="23"/>
      <w:bookmarkEnd w:id="24"/>
      <w:bookmarkEnd w:id="25"/>
      <w:r>
        <w:rPr>
          <w:lang w:val="en-US"/>
        </w:rPr>
        <w:t xml:space="preserve">For </w:t>
      </w:r>
      <w:r w:rsidRPr="0031060C">
        <w:rPr>
          <w:lang w:val="en-US"/>
        </w:rPr>
        <w:t>Rel</w:t>
      </w:r>
      <w:r w:rsidR="0063798C">
        <w:rPr>
          <w:lang w:val="en-US"/>
        </w:rPr>
        <w:t>-</w:t>
      </w:r>
      <w:r w:rsidRPr="0031060C">
        <w:rPr>
          <w:lang w:val="en-US"/>
        </w:rPr>
        <w:t xml:space="preserve">15 </w:t>
      </w:r>
      <w:r>
        <w:rPr>
          <w:lang w:val="en-US"/>
        </w:rPr>
        <w:t>June</w:t>
      </w:r>
      <w:r w:rsidRPr="0031060C">
        <w:rPr>
          <w:lang w:val="en-US"/>
        </w:rPr>
        <w:t xml:space="preserve"> 201</w:t>
      </w:r>
      <w:r>
        <w:rPr>
          <w:lang w:val="en-US"/>
        </w:rPr>
        <w:t>8</w:t>
      </w:r>
      <w:r w:rsidRPr="0031060C">
        <w:rPr>
          <w:lang w:val="en-US"/>
        </w:rPr>
        <w:t xml:space="preserve"> version of Case 2, number of CCEs for channel estimation </w:t>
      </w:r>
      <w:bookmarkEnd w:id="27"/>
      <w:r w:rsidR="00B853AD">
        <w:rPr>
          <w:lang w:val="en-US"/>
        </w:rPr>
        <w:t>for PDCCH monitoring occasion(s) whose first symbol(s) are</w:t>
      </w:r>
      <w:r w:rsidR="00B853AD" w:rsidRPr="0031060C">
        <w:rPr>
          <w:lang w:val="en-US"/>
        </w:rPr>
        <w:t xml:space="preserve"> </w:t>
      </w:r>
      <w:r w:rsidR="00C25072">
        <w:rPr>
          <w:lang w:val="en-US"/>
        </w:rPr>
        <w:t xml:space="preserve">in the first half </w:t>
      </w:r>
      <w:r w:rsidR="00C25072" w:rsidRPr="0031060C">
        <w:rPr>
          <w:lang w:val="en-US"/>
        </w:rPr>
        <w:t>slot is {</w:t>
      </w:r>
      <w:r w:rsidR="00C25072">
        <w:rPr>
          <w:lang w:val="en-US"/>
        </w:rPr>
        <w:t>56, 56, 48, 32}</w:t>
      </w:r>
      <w:r w:rsidR="00C25072" w:rsidRPr="0031060C">
        <w:rPr>
          <w:lang w:val="en-US"/>
        </w:rPr>
        <w:t xml:space="preserve"> for SCS {15kHz, 30kHz, 60kHz, 120kHz}</w:t>
      </w:r>
      <w:r w:rsidR="00C25072">
        <w:rPr>
          <w:lang w:val="en-US"/>
        </w:rPr>
        <w:t xml:space="preserve">, and </w:t>
      </w:r>
      <w:r w:rsidR="00B853AD">
        <w:rPr>
          <w:lang w:val="en-US"/>
        </w:rPr>
        <w:t>for PDCCH monitoring occasion(s) whose first symbol(s) are</w:t>
      </w:r>
      <w:r w:rsidR="00B853AD" w:rsidRPr="0031060C">
        <w:rPr>
          <w:lang w:val="en-US"/>
        </w:rPr>
        <w:t xml:space="preserve"> </w:t>
      </w:r>
      <w:r w:rsidR="00C25072">
        <w:rPr>
          <w:lang w:val="en-US"/>
        </w:rPr>
        <w:t xml:space="preserve">in the second half </w:t>
      </w:r>
      <w:r w:rsidR="00C25072" w:rsidRPr="0031060C">
        <w:rPr>
          <w:lang w:val="en-US"/>
        </w:rPr>
        <w:t>slot is {</w:t>
      </w:r>
      <w:r w:rsidR="00C25072">
        <w:rPr>
          <w:lang w:val="en-US"/>
        </w:rPr>
        <w:t>56, 56, 48, 32}</w:t>
      </w:r>
      <w:r w:rsidR="00C25072" w:rsidRPr="0031060C">
        <w:rPr>
          <w:lang w:val="en-US"/>
        </w:rPr>
        <w:t xml:space="preserve"> for SCS {15kHz, 30kHz, 60kHz, 120kHz}</w:t>
      </w:r>
      <w:r w:rsidR="00C25072">
        <w:rPr>
          <w:lang w:val="en-US"/>
        </w:rPr>
        <w:t>.</w:t>
      </w:r>
      <w:bookmarkEnd w:id="28"/>
    </w:p>
    <w:p w14:paraId="0357E692" w14:textId="77777777" w:rsidR="005A516B" w:rsidRDefault="005A516B" w:rsidP="005A516B">
      <w:pPr>
        <w:pStyle w:val="Heading2"/>
      </w:pPr>
      <w:r>
        <w:t>2.7</w:t>
      </w:r>
      <w:r>
        <w:tab/>
        <w:t>PDCCH monitoring outside the first 3 symbols of a slot</w:t>
      </w:r>
    </w:p>
    <w:p w14:paraId="5E351ACC" w14:textId="7044A67D" w:rsidR="005A516B" w:rsidRPr="00D435B4" w:rsidRDefault="005A516B" w:rsidP="00D435B4">
      <w:pPr>
        <w:overflowPunct/>
        <w:autoSpaceDE/>
        <w:autoSpaceDN/>
        <w:adjustRightInd/>
        <w:spacing w:after="0"/>
        <w:jc w:val="both"/>
        <w:textAlignment w:val="auto"/>
        <w:rPr>
          <w:rFonts w:ascii="Arial" w:hAnsi="Arial" w:cs="Arial"/>
          <w:lang w:eastAsia="x-none"/>
        </w:rPr>
      </w:pPr>
      <w:r w:rsidRPr="00D435B4">
        <w:rPr>
          <w:rFonts w:ascii="Arial" w:hAnsi="Arial" w:cs="Arial"/>
          <w:lang w:eastAsia="x-none"/>
        </w:rPr>
        <w:t xml:space="preserve">The following clause is captured in </w:t>
      </w:r>
      <w:r w:rsidRPr="00D435B4">
        <w:rPr>
          <w:rFonts w:ascii="Arial" w:hAnsi="Arial" w:cs="Arial"/>
          <w:lang w:eastAsia="x-none"/>
        </w:rPr>
        <w:fldChar w:fldCharType="begin"/>
      </w:r>
      <w:r w:rsidRPr="00D435B4">
        <w:rPr>
          <w:rFonts w:ascii="Arial" w:hAnsi="Arial" w:cs="Arial"/>
          <w:lang w:eastAsia="x-none"/>
        </w:rPr>
        <w:instrText xml:space="preserve"> REF _Ref513453939 \r \h </w:instrText>
      </w:r>
      <w:r w:rsidR="00D435B4">
        <w:rPr>
          <w:rFonts w:ascii="Arial" w:hAnsi="Arial" w:cs="Arial"/>
          <w:lang w:eastAsia="x-none"/>
        </w:rPr>
        <w:instrText xml:space="preserve"> \* MERGEFORMAT </w:instrText>
      </w:r>
      <w:r w:rsidRPr="00D435B4">
        <w:rPr>
          <w:rFonts w:ascii="Arial" w:hAnsi="Arial" w:cs="Arial"/>
          <w:lang w:eastAsia="x-none"/>
        </w:rPr>
      </w:r>
      <w:r w:rsidRPr="00D435B4">
        <w:rPr>
          <w:rFonts w:ascii="Arial" w:hAnsi="Arial" w:cs="Arial"/>
          <w:lang w:eastAsia="x-none"/>
        </w:rPr>
        <w:fldChar w:fldCharType="separate"/>
      </w:r>
      <w:r w:rsidR="00055C7C">
        <w:rPr>
          <w:rFonts w:ascii="Arial" w:hAnsi="Arial" w:cs="Arial"/>
          <w:lang w:eastAsia="x-none"/>
        </w:rPr>
        <w:t>[2]</w:t>
      </w:r>
      <w:r w:rsidRPr="00D435B4">
        <w:rPr>
          <w:rFonts w:ascii="Arial" w:hAnsi="Arial" w:cs="Arial"/>
          <w:lang w:eastAsia="x-none"/>
        </w:rPr>
        <w:fldChar w:fldCharType="end"/>
      </w:r>
      <w:r w:rsidRPr="00D435B4">
        <w:rPr>
          <w:rFonts w:ascii="Arial" w:hAnsi="Arial" w:cs="Arial"/>
          <w:lang w:eastAsia="x-none"/>
        </w:rPr>
        <w:t>. It is understood that the clause is to reflect Case 1-1 and Case 1-2 where PDCCH monitoring is not monitored beyond the span of the first 3 symbols in a slot except for 15 kHz SCS. However, though the intention is correct, it is not consistent with SS#0, whose monitoring symbols in a slot may depend on the associated SSB index in SS/PBCH multiplexing pattern 2/3 and be located outside the span of the first 3 symbols in a slot. Therefore, the clause below should be revised to be consistent with SS#0.</w:t>
      </w:r>
    </w:p>
    <w:p w14:paraId="3651E0F2" w14:textId="77777777" w:rsidR="005A516B" w:rsidRDefault="005A516B" w:rsidP="005A516B">
      <w:pPr>
        <w:overflowPunct/>
        <w:autoSpaceDE/>
        <w:autoSpaceDN/>
        <w:adjustRightInd/>
        <w:spacing w:after="0"/>
        <w:textAlignment w:val="auto"/>
        <w:rPr>
          <w:lang w:eastAsia="x-none"/>
        </w:rPr>
      </w:pPr>
    </w:p>
    <w:p w14:paraId="7E2F7FC6" w14:textId="77777777" w:rsidR="005A516B" w:rsidRDefault="005A516B" w:rsidP="005A516B">
      <w:pPr>
        <w:overflowPunct/>
        <w:autoSpaceDE/>
        <w:autoSpaceDN/>
        <w:adjustRightInd/>
        <w:spacing w:after="0"/>
        <w:textAlignment w:val="auto"/>
        <w:rPr>
          <w:lang w:eastAsia="x-none"/>
        </w:rPr>
      </w:pPr>
      <w:r w:rsidRPr="00BE4DBA">
        <w:rPr>
          <w:b/>
          <w:noProof/>
        </w:rPr>
        <mc:AlternateContent>
          <mc:Choice Requires="wps">
            <w:drawing>
              <wp:inline distT="0" distB="0" distL="0" distR="0" wp14:anchorId="1292A0FE" wp14:editId="1E36E540">
                <wp:extent cx="6080760" cy="753466"/>
                <wp:effectExtent l="0" t="0" r="15240" b="27940"/>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0760" cy="753466"/>
                        </a:xfrm>
                        <a:prstGeom prst="rect">
                          <a:avLst/>
                        </a:prstGeom>
                        <a:solidFill>
                          <a:srgbClr val="FFFFFF"/>
                        </a:solidFill>
                        <a:ln w="9525">
                          <a:solidFill>
                            <a:srgbClr val="000000"/>
                          </a:solidFill>
                          <a:miter lim="800000"/>
                          <a:headEnd/>
                          <a:tailEnd/>
                        </a:ln>
                      </wps:spPr>
                      <wps:txbx>
                        <w:txbxContent>
                          <w:p w14:paraId="52D7EEF7" w14:textId="77777777" w:rsidR="00CC6E94" w:rsidRDefault="00CC6E94" w:rsidP="005A516B">
                            <w:pPr>
                              <w:rPr>
                                <w:lang w:eastAsia="en-US"/>
                              </w:rPr>
                            </w:pPr>
                            <w:r>
                              <w:t xml:space="preserve">If the higher layer parameter </w:t>
                            </w:r>
                            <w:r>
                              <w:rPr>
                                <w:i/>
                              </w:rPr>
                              <w:t>monitoringSymbolsWithinSlot</w:t>
                            </w:r>
                            <w:r>
                              <w:t xml:space="preserve"> indicates to a UE only one PDCCH monitoring occasion within a slot, the UE does not expect to be configured a corresponding search space set </w:t>
                            </w:r>
                            <w:r>
                              <w:rPr>
                                <w:position w:val="-6"/>
                                <w:lang w:eastAsia="en-US"/>
                              </w:rPr>
                              <w:object w:dxaOrig="165" w:dyaOrig="195" w14:anchorId="35EE2A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8.15pt;height:10pt" o:ole="">
                                  <v:imagedata r:id="rId9" o:title=""/>
                                </v:shape>
                                <o:OLEObject Type="Embed" ProgID="Equation.3" ShapeID="_x0000_i1026" DrawAspect="Content" ObjectID="_1587540415" r:id="rId10"/>
                              </w:object>
                            </w:r>
                            <w:r>
                              <w:t xml:space="preserve"> for a PDCCH subcarrier spacing other than 15 kHz if the control resource set </w:t>
                            </w:r>
                            <w:r>
                              <w:rPr>
                                <w:position w:val="-10"/>
                                <w:lang w:eastAsia="en-US"/>
                              </w:rPr>
                              <w:object w:dxaOrig="195" w:dyaOrig="240" w14:anchorId="0CDC60F9">
                                <v:shape id="_x0000_i1028" type="#_x0000_t75" style="width:10pt;height:11.9pt" o:ole="">
                                  <v:imagedata r:id="rId11" o:title=""/>
                                </v:shape>
                                <o:OLEObject Type="Embed" ProgID="Equation.3" ShapeID="_x0000_i1028" DrawAspect="Content" ObjectID="_1587540416" r:id="rId12"/>
                              </w:object>
                            </w:r>
                            <w:r>
                              <w:t xml:space="preserve"> associated with the search space </w:t>
                            </w:r>
                            <w:r>
                              <w:rPr>
                                <w:position w:val="-6"/>
                                <w:lang w:eastAsia="en-US"/>
                              </w:rPr>
                              <w:object w:dxaOrig="165" w:dyaOrig="195" w14:anchorId="7D80D77E">
                                <v:shape id="_x0000_i1030" type="#_x0000_t75" style="width:8.15pt;height:10pt" o:ole="">
                                  <v:imagedata r:id="rId9" o:title=""/>
                                </v:shape>
                                <o:OLEObject Type="Embed" ProgID="Equation.3" ShapeID="_x0000_i1030" DrawAspect="Content" ObjectID="_1587540417" r:id="rId13"/>
                              </w:object>
                            </w:r>
                            <w:r>
                              <w:t xml:space="preserve"> includes at least one symbol after the third slot symbol. </w:t>
                            </w:r>
                          </w:p>
                          <w:p w14:paraId="40F74CAD" w14:textId="77777777" w:rsidR="00CC6E94" w:rsidRDefault="00CC6E94" w:rsidP="005A516B"/>
                        </w:txbxContent>
                      </wps:txbx>
                      <wps:bodyPr rot="0" vert="horz" wrap="square" lIns="91440" tIns="45720" rIns="91440" bIns="45720" anchor="t" anchorCtr="0">
                        <a:noAutofit/>
                      </wps:bodyPr>
                    </wps:wsp>
                  </a:graphicData>
                </a:graphic>
              </wp:inline>
            </w:drawing>
          </mc:Choice>
          <mc:Fallback>
            <w:pict>
              <v:shape w14:anchorId="1292A0FE" id="Text Box 2" o:spid="_x0000_s1031" type="#_x0000_t202" style="width:478.8pt;height:59.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">
                <v:textbox>
                  <w:txbxContent>
                    <w:p w14:paraId="52D7EEF7" w14:textId="77777777" w:rsidR="00CC6E94" w:rsidRDefault="00CC6E94" w:rsidP="005A516B">
                      <w:pPr>
                        <w:rPr>
                          <w:lang w:eastAsia="en-US"/>
                        </w:rPr>
                      </w:pPr>
                      <w:r>
                        <w:t xml:space="preserve">If the higher layer parameter </w:t>
                      </w:r>
                      <w:r>
                        <w:rPr>
                          <w:i/>
                        </w:rPr>
                        <w:t>monitoringSymbolsWithinSlot</w:t>
                      </w:r>
                      <w:r>
                        <w:t xml:space="preserve"> indicates to a UE only one PDCCH monitoring occasion within a slot, the UE does not expect to be configured a corresponding search space set </w:t>
                      </w:r>
                      <w:r>
                        <w:rPr>
                          <w:position w:val="-6"/>
                          <w:lang w:eastAsia="en-US"/>
                        </w:rPr>
                        <w:object w:dxaOrig="165" w:dyaOrig="195" w14:anchorId="35EE2A5F">
                          <v:shape id="_x0000_i1026" type="#_x0000_t75" style="width:8.15pt;height:10pt" o:ole="">
                            <v:imagedata r:id="rId9" o:title=""/>
                          </v:shape>
                          <o:OLEObject Type="Embed" ProgID="Equation.3" ShapeID="_x0000_i1026" DrawAspect="Content" ObjectID="_1587540415" r:id="rId14"/>
                        </w:object>
                      </w:r>
                      <w:r>
                        <w:t xml:space="preserve"> for a PDCCH subcarrier spacing other than 15 kHz if the control resource set </w:t>
                      </w:r>
                      <w:r>
                        <w:rPr>
                          <w:position w:val="-10"/>
                          <w:lang w:eastAsia="en-US"/>
                        </w:rPr>
                        <w:object w:dxaOrig="195" w:dyaOrig="240" w14:anchorId="0CDC60F9">
                          <v:shape id="_x0000_i1028" type="#_x0000_t75" style="width:10pt;height:11.9pt" o:ole="">
                            <v:imagedata r:id="rId11" o:title=""/>
                          </v:shape>
                          <o:OLEObject Type="Embed" ProgID="Equation.3" ShapeID="_x0000_i1028" DrawAspect="Content" ObjectID="_1587540416" r:id="rId15"/>
                        </w:object>
                      </w:r>
                      <w:r>
                        <w:t xml:space="preserve"> associated with the search space </w:t>
                      </w:r>
                      <w:r>
                        <w:rPr>
                          <w:position w:val="-6"/>
                          <w:lang w:eastAsia="en-US"/>
                        </w:rPr>
                        <w:object w:dxaOrig="165" w:dyaOrig="195" w14:anchorId="7D80D77E">
                          <v:shape id="_x0000_i1030" type="#_x0000_t75" style="width:8.15pt;height:10pt" o:ole="">
                            <v:imagedata r:id="rId9" o:title=""/>
                          </v:shape>
                          <o:OLEObject Type="Embed" ProgID="Equation.3" ShapeID="_x0000_i1030" DrawAspect="Content" ObjectID="_1587540417" r:id="rId16"/>
                        </w:object>
                      </w:r>
                      <w:r>
                        <w:t xml:space="preserve"> includes at least one symbol after the third slot symbol. </w:t>
                      </w:r>
                    </w:p>
                    <w:p w14:paraId="40F74CAD" w14:textId="77777777" w:rsidR="00CC6E94" w:rsidRDefault="00CC6E94" w:rsidP="005A516B"/>
                  </w:txbxContent>
                </v:textbox>
                <w10:anchorlock/>
              </v:shape>
            </w:pict>
          </mc:Fallback>
        </mc:AlternateContent>
      </w:r>
    </w:p>
    <w:p w14:paraId="7F45C34A" w14:textId="77777777" w:rsidR="005A516B" w:rsidRDefault="005A516B" w:rsidP="005A516B">
      <w:pPr>
        <w:overflowPunct/>
        <w:autoSpaceDE/>
        <w:autoSpaceDN/>
        <w:adjustRightInd/>
        <w:spacing w:after="0"/>
        <w:textAlignment w:val="auto"/>
        <w:rPr>
          <w:lang w:eastAsia="x-none"/>
        </w:rPr>
      </w:pPr>
    </w:p>
    <w:p w14:paraId="3261F188" w14:textId="661ECBDA" w:rsidR="005A516B" w:rsidRDefault="005A516B" w:rsidP="005A516B">
      <w:pPr>
        <w:pStyle w:val="Proposal"/>
        <w:rPr>
          <w:lang w:val="en-US"/>
        </w:rPr>
      </w:pPr>
      <w:bookmarkStart w:id="29" w:name="_Toc513798506"/>
      <w:r>
        <w:rPr>
          <w:lang w:val="en-US"/>
        </w:rPr>
        <w:t>Adopt the following TP</w:t>
      </w:r>
      <w:r w:rsidR="00D470CC">
        <w:rPr>
          <w:lang w:val="en-US"/>
        </w:rPr>
        <w:t xml:space="preserve"> for TS 38.213</w:t>
      </w:r>
      <w:bookmarkEnd w:id="29"/>
    </w:p>
    <w:p w14:paraId="0C82F3FB" w14:textId="4AD60155" w:rsidR="005A516B" w:rsidRPr="005A516B" w:rsidRDefault="005A516B" w:rsidP="005A516B">
      <w:pPr>
        <w:pStyle w:val="Proposal"/>
        <w:numPr>
          <w:ilvl w:val="0"/>
          <w:numId w:val="0"/>
        </w:numPr>
        <w:ind w:left="1701"/>
        <w:rPr>
          <w:lang w:eastAsia="en-US"/>
        </w:rPr>
      </w:pPr>
      <w:bookmarkStart w:id="30" w:name="_Toc513798507"/>
      <w:r>
        <w:t xml:space="preserve">“If the higher layer parameter </w:t>
      </w:r>
      <w:r>
        <w:rPr>
          <w:i/>
        </w:rPr>
        <w:t>monitoringSymbolsWithinSlot</w:t>
      </w:r>
      <w:r>
        <w:t xml:space="preserve"> indicates to a UE only one PDCCH monitoring occasion within a slot, the UE does not expect to be configured a corresponding search space set </w:t>
      </w:r>
      <w:r>
        <w:rPr>
          <w:position w:val="-6"/>
          <w:lang w:eastAsia="en-US"/>
        </w:rPr>
        <w:object w:dxaOrig="165" w:dyaOrig="195" w14:anchorId="5D2BF3B8">
          <v:shape id="_x0000_i1031" type="#_x0000_t75" style="width:8.15pt;height:10pt" o:ole="">
            <v:imagedata r:id="rId9" o:title=""/>
          </v:shape>
          <o:OLEObject Type="Embed" ProgID="Equation.3" ShapeID="_x0000_i1031" DrawAspect="Content" ObjectID="_1587540399" r:id="rId17"/>
        </w:object>
      </w:r>
      <w:r>
        <w:t xml:space="preserve"> </w:t>
      </w:r>
      <w:r w:rsidRPr="001C4523">
        <w:rPr>
          <w:color w:val="FF0000"/>
        </w:rPr>
        <w:t xml:space="preserve">other than search space set 0 </w:t>
      </w:r>
      <w:r>
        <w:t xml:space="preserve">for a PDCCH subcarrier spacing other than 15 kHz if the control resource set </w:t>
      </w:r>
      <w:r>
        <w:rPr>
          <w:position w:val="-10"/>
          <w:lang w:eastAsia="en-US"/>
        </w:rPr>
        <w:object w:dxaOrig="195" w:dyaOrig="240" w14:anchorId="7A31B7BA">
          <v:shape id="_x0000_i1032" type="#_x0000_t75" style="width:10pt;height:11.9pt" o:ole="">
            <v:imagedata r:id="rId11" o:title=""/>
          </v:shape>
          <o:OLEObject Type="Embed" ProgID="Equation.3" ShapeID="_x0000_i1032" DrawAspect="Content" ObjectID="_1587540400" r:id="rId18"/>
        </w:object>
      </w:r>
      <w:r>
        <w:t xml:space="preserve"> associated with the search space </w:t>
      </w:r>
      <w:r>
        <w:rPr>
          <w:position w:val="-6"/>
          <w:lang w:eastAsia="en-US"/>
        </w:rPr>
        <w:object w:dxaOrig="165" w:dyaOrig="195" w14:anchorId="60624B43">
          <v:shape id="_x0000_i1033" type="#_x0000_t75" style="width:8.15pt;height:10pt" o:ole="">
            <v:imagedata r:id="rId9" o:title=""/>
          </v:shape>
          <o:OLEObject Type="Embed" ProgID="Equation.3" ShapeID="_x0000_i1033" DrawAspect="Content" ObjectID="_1587540401" r:id="rId19"/>
        </w:object>
      </w:r>
      <w:r>
        <w:t xml:space="preserve"> includes at least one symbol after the third slot symbol.”</w:t>
      </w:r>
      <w:bookmarkEnd w:id="30"/>
    </w:p>
    <w:p w14:paraId="242A2A68" w14:textId="1A52D748" w:rsidR="00F605BE" w:rsidRDefault="00F605BE" w:rsidP="00F605BE">
      <w:pPr>
        <w:pStyle w:val="Heading2"/>
      </w:pPr>
      <w:r>
        <w:t>2.</w:t>
      </w:r>
      <w:r w:rsidR="005A516B">
        <w:t>8</w:t>
      </w:r>
      <w:r>
        <w:tab/>
      </w:r>
      <w:r w:rsidR="005A516B">
        <w:t xml:space="preserve">Editorial TP for 213 </w:t>
      </w:r>
    </w:p>
    <w:p w14:paraId="7719ACB6" w14:textId="57AB5755" w:rsidR="005A516B" w:rsidRPr="00D435B4" w:rsidRDefault="005A516B" w:rsidP="00D435B4">
      <w:pPr>
        <w:jc w:val="both"/>
        <w:rPr>
          <w:rFonts w:ascii="Arial" w:hAnsi="Arial" w:cs="Arial"/>
        </w:rPr>
      </w:pPr>
      <w:r w:rsidRPr="00D435B4">
        <w:rPr>
          <w:rFonts w:ascii="Arial" w:hAnsi="Arial" w:cs="Arial"/>
          <w:lang w:eastAsia="x-none"/>
        </w:rPr>
        <w:t xml:space="preserve">The following clause is captured in </w:t>
      </w:r>
      <w:r w:rsidRPr="00D435B4">
        <w:rPr>
          <w:rFonts w:ascii="Arial" w:hAnsi="Arial" w:cs="Arial"/>
          <w:lang w:eastAsia="x-none"/>
        </w:rPr>
        <w:fldChar w:fldCharType="begin"/>
      </w:r>
      <w:r w:rsidRPr="00D435B4">
        <w:rPr>
          <w:rFonts w:ascii="Arial" w:hAnsi="Arial" w:cs="Arial"/>
          <w:lang w:eastAsia="x-none"/>
        </w:rPr>
        <w:instrText xml:space="preserve"> REF _Ref513453939 \r \h </w:instrText>
      </w:r>
      <w:r w:rsidR="00D435B4">
        <w:rPr>
          <w:rFonts w:ascii="Arial" w:hAnsi="Arial" w:cs="Arial"/>
          <w:lang w:eastAsia="x-none"/>
        </w:rPr>
        <w:instrText xml:space="preserve"> \* MERGEFORMAT </w:instrText>
      </w:r>
      <w:r w:rsidRPr="00D435B4">
        <w:rPr>
          <w:rFonts w:ascii="Arial" w:hAnsi="Arial" w:cs="Arial"/>
          <w:lang w:eastAsia="x-none"/>
        </w:rPr>
      </w:r>
      <w:r w:rsidRPr="00D435B4">
        <w:rPr>
          <w:rFonts w:ascii="Arial" w:hAnsi="Arial" w:cs="Arial"/>
          <w:lang w:eastAsia="x-none"/>
        </w:rPr>
        <w:fldChar w:fldCharType="separate"/>
      </w:r>
      <w:r w:rsidR="00055C7C">
        <w:rPr>
          <w:rFonts w:ascii="Arial" w:hAnsi="Arial" w:cs="Arial"/>
          <w:lang w:eastAsia="x-none"/>
        </w:rPr>
        <w:t>[2]</w:t>
      </w:r>
      <w:r w:rsidRPr="00D435B4">
        <w:rPr>
          <w:rFonts w:ascii="Arial" w:hAnsi="Arial" w:cs="Arial"/>
          <w:lang w:eastAsia="x-none"/>
        </w:rPr>
        <w:fldChar w:fldCharType="end"/>
      </w:r>
      <w:r w:rsidRPr="00D435B4">
        <w:rPr>
          <w:rFonts w:ascii="Arial" w:hAnsi="Arial" w:cs="Arial"/>
          <w:lang w:eastAsia="x-none"/>
        </w:rPr>
        <w:t xml:space="preserve">. It is confusing why PDCCH monitoring periodicity </w:t>
      </w:r>
      <w:r w:rsidRPr="00D435B4">
        <w:rPr>
          <w:rFonts w:ascii="Arial" w:hAnsi="Arial" w:cs="Arial"/>
          <w:position w:val="-12"/>
        </w:rPr>
        <w:object w:dxaOrig="360" w:dyaOrig="320" w14:anchorId="34627B17">
          <v:shape id="_x0000_i1034" type="#_x0000_t75" style="width:18.15pt;height:15.65pt" o:ole="">
            <v:imagedata r:id="rId20" o:title=""/>
          </v:shape>
          <o:OLEObject Type="Embed" ProgID="Equation.3" ShapeID="_x0000_i1034" DrawAspect="Content" ObjectID="_1587540402" r:id="rId21"/>
        </w:object>
      </w:r>
      <w:r w:rsidRPr="00D435B4">
        <w:rPr>
          <w:rFonts w:ascii="Arial" w:hAnsi="Arial" w:cs="Arial"/>
        </w:rPr>
        <w:t>is used in the subscript in the notation</w:t>
      </w:r>
      <w:r w:rsidRPr="00D435B4">
        <w:rPr>
          <w:rFonts w:ascii="Arial" w:hAnsi="Arial" w:cs="Arial"/>
          <w:position w:val="-16"/>
        </w:rPr>
        <w:object w:dxaOrig="420" w:dyaOrig="400" w14:anchorId="28C310C3">
          <v:shape id="_x0000_i1035" type="#_x0000_t75" style="width:20.65pt;height:19.4pt" o:ole="">
            <v:imagedata r:id="rId22" o:title=""/>
          </v:shape>
          <o:OLEObject Type="Embed" ProgID="Equation.3" ShapeID="_x0000_i1035" DrawAspect="Content" ObjectID="_1587540403" r:id="rId23"/>
        </w:object>
      </w:r>
      <w:r w:rsidRPr="00D435B4">
        <w:rPr>
          <w:rFonts w:ascii="Arial" w:hAnsi="Arial" w:cs="Arial"/>
        </w:rPr>
        <w:t xml:space="preserve">. Further, this notation </w:t>
      </w:r>
      <w:r w:rsidRPr="00D435B4">
        <w:rPr>
          <w:rFonts w:ascii="Arial" w:hAnsi="Arial" w:cs="Arial"/>
          <w:position w:val="-16"/>
        </w:rPr>
        <w:object w:dxaOrig="420" w:dyaOrig="400" w14:anchorId="34FEDA5A">
          <v:shape id="_x0000_i1036" type="#_x0000_t75" style="width:20.05pt;height:19.4pt" o:ole="">
            <v:imagedata r:id="rId22" o:title=""/>
          </v:shape>
          <o:OLEObject Type="Embed" ProgID="Equation.3" ShapeID="_x0000_i1036" DrawAspect="Content" ObjectID="_1587540404" r:id="rId24"/>
        </w:object>
      </w:r>
      <w:r w:rsidRPr="00D435B4">
        <w:rPr>
          <w:rFonts w:ascii="Arial" w:hAnsi="Arial" w:cs="Arial"/>
        </w:rPr>
        <w:t xml:space="preserve">is not used in any other places. It is recommended that the confusing notation </w:t>
      </w:r>
      <w:r w:rsidRPr="00D435B4">
        <w:rPr>
          <w:rFonts w:ascii="Arial" w:hAnsi="Arial" w:cs="Arial"/>
          <w:position w:val="-16"/>
        </w:rPr>
        <w:object w:dxaOrig="420" w:dyaOrig="400" w14:anchorId="7D51ECB0">
          <v:shape id="_x0000_i1037" type="#_x0000_t75" style="width:20.05pt;height:19.4pt" o:ole="">
            <v:imagedata r:id="rId22" o:title=""/>
          </v:shape>
          <o:OLEObject Type="Embed" ProgID="Equation.3" ShapeID="_x0000_i1037" DrawAspect="Content" ObjectID="_1587540405" r:id="rId25"/>
        </w:object>
      </w:r>
      <w:r w:rsidRPr="00D435B4">
        <w:rPr>
          <w:rFonts w:ascii="Arial" w:hAnsi="Arial" w:cs="Arial"/>
        </w:rPr>
        <w:t>is removed.</w:t>
      </w:r>
    </w:p>
    <w:p w14:paraId="4606BC45" w14:textId="63C6979B" w:rsidR="009F1338" w:rsidRDefault="00C25B05" w:rsidP="00C179A1">
      <w:r w:rsidRPr="00BE4DBA">
        <w:rPr>
          <w:b/>
          <w:noProof/>
        </w:rPr>
        <mc:AlternateContent>
          <mc:Choice Requires="wps">
            <w:drawing>
              <wp:inline distT="0" distB="0" distL="0" distR="0" wp14:anchorId="7C0CBA64" wp14:editId="0F579115">
                <wp:extent cx="6080760" cy="541325"/>
                <wp:effectExtent l="0" t="0" r="15240" b="11430"/>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0760" cy="541325"/>
                        </a:xfrm>
                        <a:prstGeom prst="rect">
                          <a:avLst/>
                        </a:prstGeom>
                        <a:solidFill>
                          <a:srgbClr val="FFFFFF"/>
                        </a:solidFill>
                        <a:ln w="9525">
                          <a:solidFill>
                            <a:srgbClr val="000000"/>
                          </a:solidFill>
                          <a:miter lim="800000"/>
                          <a:headEnd/>
                          <a:tailEnd/>
                        </a:ln>
                      </wps:spPr>
                      <wps:txbx>
                        <w:txbxContent>
                          <w:p w14:paraId="4B1778E4" w14:textId="77777777" w:rsidR="00CC6E94" w:rsidRDefault="00CC6E94" w:rsidP="00C25B05">
                            <w:r w:rsidRPr="00B916EC">
                              <w:t xml:space="preserve">A PDCCH UE-specific search space </w:t>
                            </w:r>
                            <w:r w:rsidRPr="00B916EC">
                              <w:rPr>
                                <w:position w:val="-16"/>
                              </w:rPr>
                              <w:object w:dxaOrig="420" w:dyaOrig="400" w14:anchorId="5A6EE15E">
                                <v:shape id="_x0000_i1039" type="#_x0000_t75" style="width:20.05pt;height:19.4pt" o:ole="">
                                  <v:imagedata r:id="rId22" o:title=""/>
                                </v:shape>
                                <o:OLEObject Type="Embed" ProgID="Equation.3" ShapeID="_x0000_i1039" DrawAspect="Content" ObjectID="_1587540418" r:id="rId26"/>
                              </w:object>
                            </w:r>
                            <w:r w:rsidRPr="00B916EC">
                              <w:t xml:space="preserve"> at CCE aggregation level </w:t>
                            </w:r>
                            <w:r w:rsidRPr="00B916EC">
                              <w:rPr>
                                <w:position w:val="-10"/>
                              </w:rPr>
                              <w:object w:dxaOrig="1380" w:dyaOrig="300" w14:anchorId="6AC8AB69">
                                <v:shape id="_x0000_i1041" type="#_x0000_t75" style="width:68.25pt;height:14.4pt" o:ole="">
                                  <v:imagedata r:id="rId27" o:title=""/>
                                </v:shape>
                                <o:OLEObject Type="Embed" ProgID="Equation.3" ShapeID="_x0000_i1041" DrawAspect="Content" ObjectID="_1587540419" r:id="rId28"/>
                              </w:object>
                            </w:r>
                            <w:r w:rsidRPr="00B916EC">
                              <w:t xml:space="preserve"> is defined by a set of PDCCH candidates for CCE aggregation level </w:t>
                            </w:r>
                            <w:r w:rsidRPr="00B916EC">
                              <w:rPr>
                                <w:position w:val="-4"/>
                              </w:rPr>
                              <w:object w:dxaOrig="200" w:dyaOrig="220" w14:anchorId="2F64DA4D">
                                <v:shape id="_x0000_i1043" type="#_x0000_t75" style="width:10pt;height:11.25pt" o:ole="">
                                  <v:imagedata r:id="rId29" o:title=""/>
                                </v:shape>
                                <o:OLEObject Type="Embed" ProgID="Equation.3" ShapeID="_x0000_i1043" DrawAspect="Content" ObjectID="_1587540420" r:id="rId30"/>
                              </w:object>
                            </w:r>
                            <w:r w:rsidRPr="00B916EC">
                              <w:t xml:space="preserve">. </w:t>
                            </w:r>
                          </w:p>
                        </w:txbxContent>
                      </wps:txbx>
                      <wps:bodyPr rot="0" vert="horz" wrap="square" lIns="91440" tIns="45720" rIns="91440" bIns="45720" anchor="t" anchorCtr="0">
                        <a:noAutofit/>
                      </wps:bodyPr>
                    </wps:wsp>
                  </a:graphicData>
                </a:graphic>
              </wp:inline>
            </w:drawing>
          </mc:Choice>
          <mc:Fallback>
            <w:pict>
              <v:shape w14:anchorId="7C0CBA64" id="_x0000_s1032" type="#_x0000_t202" style="width:478.8pt;height:4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">
                <v:textbox>
                  <w:txbxContent>
                    <w:p w14:paraId="4B1778E4" w14:textId="77777777" w:rsidR="00CC6E94" w:rsidRDefault="00CC6E94" w:rsidP="00C25B05">
                      <w:r w:rsidRPr="00B916EC">
                        <w:t xml:space="preserve">A PDCCH UE-specific search space </w:t>
                      </w:r>
                      <w:r w:rsidRPr="00B916EC">
                        <w:rPr>
                          <w:position w:val="-16"/>
                        </w:rPr>
                        <w:object w:dxaOrig="420" w:dyaOrig="400" w14:anchorId="5A6EE15E">
                          <v:shape id="_x0000_i1039" type="#_x0000_t75" style="width:20.05pt;height:19.4pt" o:ole="">
                            <v:imagedata r:id="rId22" o:title=""/>
                          </v:shape>
                          <o:OLEObject Type="Embed" ProgID="Equation.3" ShapeID="_x0000_i1039" DrawAspect="Content" ObjectID="_1587540418" r:id="rId31"/>
                        </w:object>
                      </w:r>
                      <w:r w:rsidRPr="00B916EC">
                        <w:t xml:space="preserve"> at CCE aggregation level </w:t>
                      </w:r>
                      <w:r w:rsidRPr="00B916EC">
                        <w:rPr>
                          <w:position w:val="-10"/>
                        </w:rPr>
                        <w:object w:dxaOrig="1380" w:dyaOrig="300" w14:anchorId="6AC8AB69">
                          <v:shape id="_x0000_i1041" type="#_x0000_t75" style="width:68.25pt;height:14.4pt" o:ole="">
                            <v:imagedata r:id="rId27" o:title=""/>
                          </v:shape>
                          <o:OLEObject Type="Embed" ProgID="Equation.3" ShapeID="_x0000_i1041" DrawAspect="Content" ObjectID="_1587540419" r:id="rId32"/>
                        </w:object>
                      </w:r>
                      <w:r w:rsidRPr="00B916EC">
                        <w:t xml:space="preserve"> is defined by a set of PDCCH candidates for CCE aggregation level </w:t>
                      </w:r>
                      <w:r w:rsidRPr="00B916EC">
                        <w:rPr>
                          <w:position w:val="-4"/>
                        </w:rPr>
                        <w:object w:dxaOrig="200" w:dyaOrig="220" w14:anchorId="2F64DA4D">
                          <v:shape id="_x0000_i1043" type="#_x0000_t75" style="width:10pt;height:11.25pt" o:ole="">
                            <v:imagedata r:id="rId29" o:title=""/>
                          </v:shape>
                          <o:OLEObject Type="Embed" ProgID="Equation.3" ShapeID="_x0000_i1043" DrawAspect="Content" ObjectID="_1587540420" r:id="rId33"/>
                        </w:object>
                      </w:r>
                      <w:r w:rsidRPr="00B916EC">
                        <w:t xml:space="preserve">. </w:t>
                      </w:r>
                    </w:p>
                  </w:txbxContent>
                </v:textbox>
                <w10:anchorlock/>
              </v:shape>
            </w:pict>
          </mc:Fallback>
        </mc:AlternateContent>
      </w:r>
    </w:p>
    <w:p w14:paraId="7B511876" w14:textId="3C46B740" w:rsidR="005A516B" w:rsidRDefault="005A516B" w:rsidP="005A516B">
      <w:pPr>
        <w:pStyle w:val="Proposal"/>
        <w:rPr>
          <w:lang w:val="en-US"/>
        </w:rPr>
      </w:pPr>
      <w:bookmarkStart w:id="31" w:name="_Toc513798508"/>
      <w:r>
        <w:rPr>
          <w:lang w:val="en-US"/>
        </w:rPr>
        <w:t>Adopt the following TP</w:t>
      </w:r>
      <w:r w:rsidR="00D470CC">
        <w:rPr>
          <w:lang w:val="en-US"/>
        </w:rPr>
        <w:t xml:space="preserve"> for TS 38.213:</w:t>
      </w:r>
      <w:bookmarkEnd w:id="31"/>
    </w:p>
    <w:p w14:paraId="372E5DBC" w14:textId="1BF509FD" w:rsidR="005A516B" w:rsidRPr="005A516B" w:rsidRDefault="005A516B" w:rsidP="005A516B">
      <w:pPr>
        <w:pStyle w:val="Proposal"/>
        <w:numPr>
          <w:ilvl w:val="0"/>
          <w:numId w:val="0"/>
        </w:numPr>
        <w:ind w:left="1701"/>
        <w:rPr>
          <w:lang w:val="en-US"/>
        </w:rPr>
      </w:pPr>
      <w:bookmarkStart w:id="32" w:name="_Toc513798509"/>
      <w:r>
        <w:t>“</w:t>
      </w:r>
      <w:r w:rsidRPr="00B916EC">
        <w:t xml:space="preserve">A PDCCH UE-specific search space </w:t>
      </w:r>
      <w:r w:rsidRPr="005A516B">
        <w:rPr>
          <w:strike/>
          <w:color w:val="FF0000"/>
          <w:position w:val="-16"/>
        </w:rPr>
        <w:object w:dxaOrig="420" w:dyaOrig="400" w14:anchorId="191A2F9B">
          <v:shape id="_x0000_i1044" type="#_x0000_t75" style="width:20.05pt;height:19.4pt" o:ole="">
            <v:imagedata r:id="rId22" o:title=""/>
          </v:shape>
          <o:OLEObject Type="Embed" ProgID="Equation.3" ShapeID="_x0000_i1044" DrawAspect="Content" ObjectID="_1587540406" r:id="rId34"/>
        </w:object>
      </w:r>
      <w:r w:rsidRPr="00B916EC">
        <w:t xml:space="preserve"> at CCE aggregation level </w:t>
      </w:r>
      <w:r w:rsidRPr="00B916EC">
        <w:rPr>
          <w:position w:val="-10"/>
        </w:rPr>
        <w:object w:dxaOrig="1380" w:dyaOrig="300" w14:anchorId="1CA0FE50">
          <v:shape id="_x0000_i1045" type="#_x0000_t75" style="width:68.25pt;height:14.4pt" o:ole="">
            <v:imagedata r:id="rId27" o:title=""/>
          </v:shape>
          <o:OLEObject Type="Embed" ProgID="Equation.3" ShapeID="_x0000_i1045" DrawAspect="Content" ObjectID="_1587540407" r:id="rId35"/>
        </w:object>
      </w:r>
      <w:r w:rsidRPr="00B916EC">
        <w:t xml:space="preserve"> is defined by a set of PDCCH candidates for CCE aggregation level </w:t>
      </w:r>
      <w:r w:rsidRPr="00B916EC">
        <w:rPr>
          <w:position w:val="-4"/>
        </w:rPr>
        <w:object w:dxaOrig="200" w:dyaOrig="220" w14:anchorId="674914F5">
          <v:shape id="_x0000_i1046" type="#_x0000_t75" style="width:10pt;height:11.25pt" o:ole="">
            <v:imagedata r:id="rId29" o:title=""/>
          </v:shape>
          <o:OLEObject Type="Embed" ProgID="Equation.3" ShapeID="_x0000_i1046" DrawAspect="Content" ObjectID="_1587540408" r:id="rId36"/>
        </w:object>
      </w:r>
      <w:r w:rsidRPr="00B916EC">
        <w:t>.</w:t>
      </w:r>
      <w:r>
        <w:t>”</w:t>
      </w:r>
      <w:bookmarkEnd w:id="32"/>
    </w:p>
    <w:p w14:paraId="5300F849" w14:textId="18599418" w:rsidR="00C01F33" w:rsidRPr="00CE0424" w:rsidRDefault="00C01F33" w:rsidP="00CE0424">
      <w:pPr>
        <w:pStyle w:val="Heading1"/>
      </w:pPr>
      <w:r w:rsidRPr="00CE0424">
        <w:t>Conclusion</w:t>
      </w:r>
    </w:p>
    <w:p w14:paraId="7AFEA5AA"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0F23725B" w14:textId="77777777" w:rsidR="00055C7C" w:rsidRDefault="006E1C82">
      <w:pPr>
        <w:pStyle w:val="TableofFigures"/>
        <w:tabs>
          <w:tab w:val="right" w:leader="dot" w:pos="9629"/>
        </w:tabs>
        <w:rPr>
          <w:rFonts w:asciiTheme="minorHAnsi" w:eastAsiaTheme="minorEastAsia" w:hAnsiTheme="minorHAnsi" w:cstheme="minorBidi"/>
          <w:b w:val="0"/>
          <w:noProof/>
          <w:sz w:val="22"/>
          <w:szCs w:val="22"/>
          <w:lang w:val="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13798492" w:history="1">
        <w:r w:rsidR="00055C7C" w:rsidRPr="00207B5D">
          <w:rPr>
            <w:rStyle w:val="Hyperlink"/>
            <w:noProof/>
          </w:rPr>
          <w:t>Proposal 1</w:t>
        </w:r>
        <w:r w:rsidR="00055C7C">
          <w:rPr>
            <w:rFonts w:asciiTheme="minorHAnsi" w:eastAsiaTheme="minorEastAsia" w:hAnsiTheme="minorHAnsi" w:cstheme="minorBidi"/>
            <w:b w:val="0"/>
            <w:noProof/>
            <w:sz w:val="22"/>
            <w:szCs w:val="22"/>
            <w:lang w:val="en-US"/>
          </w:rPr>
          <w:tab/>
        </w:r>
        <w:r w:rsidR="00055C7C" w:rsidRPr="00207B5D">
          <w:rPr>
            <w:rStyle w:val="Hyperlink"/>
            <w:rFonts w:cs="Arial"/>
            <w:noProof/>
          </w:rPr>
          <w:t>In NR, TC-RNTI is not monitored in USS.</w:t>
        </w:r>
      </w:hyperlink>
    </w:p>
    <w:p w14:paraId="5DE6D0F1" w14:textId="77777777" w:rsidR="00055C7C" w:rsidRDefault="00055C7C">
      <w:pPr>
        <w:pStyle w:val="TableofFigures"/>
        <w:tabs>
          <w:tab w:val="right" w:leader="dot" w:pos="9629"/>
        </w:tabs>
        <w:rPr>
          <w:rFonts w:asciiTheme="minorHAnsi" w:eastAsiaTheme="minorEastAsia" w:hAnsiTheme="minorHAnsi" w:cstheme="minorBidi"/>
          <w:b w:val="0"/>
          <w:noProof/>
          <w:sz w:val="22"/>
          <w:szCs w:val="22"/>
          <w:lang w:val="en-US"/>
        </w:rPr>
      </w:pPr>
      <w:hyperlink w:anchor="_Toc513798493" w:history="1">
        <w:r w:rsidRPr="00207B5D">
          <w:rPr>
            <w:rStyle w:val="Hyperlink"/>
            <w:noProof/>
          </w:rPr>
          <w:t>Proposal 2</w:t>
        </w:r>
        <w:r>
          <w:rPr>
            <w:rFonts w:asciiTheme="minorHAnsi" w:eastAsiaTheme="minorEastAsia" w:hAnsiTheme="minorHAnsi" w:cstheme="minorBidi"/>
            <w:b w:val="0"/>
            <w:noProof/>
            <w:sz w:val="22"/>
            <w:szCs w:val="22"/>
            <w:lang w:val="en-US"/>
          </w:rPr>
          <w:tab/>
        </w:r>
        <w:r w:rsidRPr="00207B5D">
          <w:rPr>
            <w:rStyle w:val="Hyperlink"/>
            <w:rFonts w:cs="Arial"/>
            <w:noProof/>
          </w:rPr>
          <w:t>In in USS, the association of the RNTIs with DCI formats are as follows.</w:t>
        </w:r>
      </w:hyperlink>
    </w:p>
    <w:p w14:paraId="7AEA9D1E" w14:textId="77777777" w:rsidR="00055C7C" w:rsidRDefault="00055C7C">
      <w:pPr>
        <w:pStyle w:val="TableofFigures"/>
        <w:tabs>
          <w:tab w:val="right" w:leader="dot" w:pos="9629"/>
        </w:tabs>
        <w:rPr>
          <w:rFonts w:asciiTheme="minorHAnsi" w:eastAsiaTheme="minorEastAsia" w:hAnsiTheme="minorHAnsi" w:cstheme="minorBidi"/>
          <w:b w:val="0"/>
          <w:noProof/>
          <w:sz w:val="22"/>
          <w:szCs w:val="22"/>
          <w:lang w:val="en-US"/>
        </w:rPr>
      </w:pPr>
      <w:hyperlink w:anchor="_Toc513798494" w:history="1">
        <w:r w:rsidRPr="00207B5D">
          <w:rPr>
            <w:rStyle w:val="Hyperlink"/>
            <w:rFonts w:ascii="Symbol" w:hAnsi="Symbol"/>
            <w:noProof/>
          </w:rPr>
          <w:t></w:t>
        </w:r>
        <w:r>
          <w:rPr>
            <w:rFonts w:asciiTheme="minorHAnsi" w:eastAsiaTheme="minorEastAsia" w:hAnsiTheme="minorHAnsi" w:cstheme="minorBidi"/>
            <w:b w:val="0"/>
            <w:noProof/>
            <w:sz w:val="22"/>
            <w:szCs w:val="22"/>
            <w:lang w:val="en-US"/>
          </w:rPr>
          <w:tab/>
        </w:r>
        <w:r w:rsidRPr="00207B5D">
          <w:rPr>
            <w:rStyle w:val="Hyperlink"/>
            <w:noProof/>
            <w:lang w:val="en-US"/>
          </w:rPr>
          <w:t>For C-RNTI, DCI formats to monitor should include DCI 0_0/1_0, DCI 0_1, and DCI 1_1.</w:t>
        </w:r>
      </w:hyperlink>
    </w:p>
    <w:p w14:paraId="159A7380" w14:textId="77777777" w:rsidR="00055C7C" w:rsidRDefault="00055C7C">
      <w:pPr>
        <w:pStyle w:val="TableofFigures"/>
        <w:tabs>
          <w:tab w:val="right" w:leader="dot" w:pos="9629"/>
        </w:tabs>
        <w:rPr>
          <w:rFonts w:asciiTheme="minorHAnsi" w:eastAsiaTheme="minorEastAsia" w:hAnsiTheme="minorHAnsi" w:cstheme="minorBidi"/>
          <w:b w:val="0"/>
          <w:noProof/>
          <w:sz w:val="22"/>
          <w:szCs w:val="22"/>
          <w:lang w:val="en-US"/>
        </w:rPr>
      </w:pPr>
      <w:hyperlink w:anchor="_Toc513798495" w:history="1">
        <w:r w:rsidRPr="00207B5D">
          <w:rPr>
            <w:rStyle w:val="Hyperlink"/>
            <w:rFonts w:ascii="Symbol" w:hAnsi="Symbol"/>
            <w:noProof/>
          </w:rPr>
          <w:t></w:t>
        </w:r>
        <w:r>
          <w:rPr>
            <w:rFonts w:asciiTheme="minorHAnsi" w:eastAsiaTheme="minorEastAsia" w:hAnsiTheme="minorHAnsi" w:cstheme="minorBidi"/>
            <w:b w:val="0"/>
            <w:noProof/>
            <w:sz w:val="22"/>
            <w:szCs w:val="22"/>
            <w:lang w:val="en-US"/>
          </w:rPr>
          <w:tab/>
        </w:r>
        <w:r w:rsidRPr="00207B5D">
          <w:rPr>
            <w:rStyle w:val="Hyperlink"/>
            <w:noProof/>
            <w:lang w:val="en-US"/>
          </w:rPr>
          <w:t>For TC-RNTI, it is not monitored in USS.</w:t>
        </w:r>
      </w:hyperlink>
    </w:p>
    <w:p w14:paraId="614DA2AE" w14:textId="77777777" w:rsidR="00055C7C" w:rsidRDefault="00055C7C">
      <w:pPr>
        <w:pStyle w:val="TableofFigures"/>
        <w:tabs>
          <w:tab w:val="right" w:leader="dot" w:pos="9629"/>
        </w:tabs>
        <w:rPr>
          <w:rFonts w:asciiTheme="minorHAnsi" w:eastAsiaTheme="minorEastAsia" w:hAnsiTheme="minorHAnsi" w:cstheme="minorBidi"/>
          <w:b w:val="0"/>
          <w:noProof/>
          <w:sz w:val="22"/>
          <w:szCs w:val="22"/>
          <w:lang w:val="en-US"/>
        </w:rPr>
      </w:pPr>
      <w:hyperlink w:anchor="_Toc513798496" w:history="1">
        <w:r w:rsidRPr="00207B5D">
          <w:rPr>
            <w:rStyle w:val="Hyperlink"/>
            <w:rFonts w:ascii="Symbol" w:hAnsi="Symbol"/>
            <w:noProof/>
          </w:rPr>
          <w:t></w:t>
        </w:r>
        <w:r>
          <w:rPr>
            <w:rFonts w:asciiTheme="minorHAnsi" w:eastAsiaTheme="minorEastAsia" w:hAnsiTheme="minorHAnsi" w:cstheme="minorBidi"/>
            <w:b w:val="0"/>
            <w:noProof/>
            <w:sz w:val="22"/>
            <w:szCs w:val="22"/>
            <w:lang w:val="en-US"/>
          </w:rPr>
          <w:tab/>
        </w:r>
        <w:r w:rsidRPr="00207B5D">
          <w:rPr>
            <w:rStyle w:val="Hyperlink"/>
            <w:noProof/>
            <w:lang w:val="en-US"/>
          </w:rPr>
          <w:t>For CS-RNTI, DCI formats to monitor should include DCI 0_0/1_0, DCI 0_1, and DCI 1_1.</w:t>
        </w:r>
      </w:hyperlink>
    </w:p>
    <w:p w14:paraId="7A66DB5A" w14:textId="77777777" w:rsidR="00055C7C" w:rsidRDefault="00055C7C">
      <w:pPr>
        <w:pStyle w:val="TableofFigures"/>
        <w:tabs>
          <w:tab w:val="right" w:leader="dot" w:pos="9629"/>
        </w:tabs>
        <w:rPr>
          <w:rFonts w:asciiTheme="minorHAnsi" w:eastAsiaTheme="minorEastAsia" w:hAnsiTheme="minorHAnsi" w:cstheme="minorBidi"/>
          <w:b w:val="0"/>
          <w:noProof/>
          <w:sz w:val="22"/>
          <w:szCs w:val="22"/>
          <w:lang w:val="en-US"/>
        </w:rPr>
      </w:pPr>
      <w:hyperlink w:anchor="_Toc513798497" w:history="1">
        <w:r w:rsidRPr="00207B5D">
          <w:rPr>
            <w:rStyle w:val="Hyperlink"/>
            <w:rFonts w:ascii="Symbol" w:hAnsi="Symbol"/>
            <w:noProof/>
          </w:rPr>
          <w:t></w:t>
        </w:r>
        <w:r>
          <w:rPr>
            <w:rFonts w:asciiTheme="minorHAnsi" w:eastAsiaTheme="minorEastAsia" w:hAnsiTheme="minorHAnsi" w:cstheme="minorBidi"/>
            <w:b w:val="0"/>
            <w:noProof/>
            <w:sz w:val="22"/>
            <w:szCs w:val="22"/>
            <w:lang w:val="en-US"/>
          </w:rPr>
          <w:tab/>
        </w:r>
        <w:r w:rsidRPr="00207B5D">
          <w:rPr>
            <w:rStyle w:val="Hyperlink"/>
            <w:noProof/>
            <w:lang w:val="en-US"/>
          </w:rPr>
          <w:t>For SP-CSI-RNTI, DCI formats to monitor should include DCI 0_1</w:t>
        </w:r>
      </w:hyperlink>
    </w:p>
    <w:p w14:paraId="56FA0C59" w14:textId="77777777" w:rsidR="00055C7C" w:rsidRDefault="00055C7C">
      <w:pPr>
        <w:pStyle w:val="TableofFigures"/>
        <w:tabs>
          <w:tab w:val="right" w:leader="dot" w:pos="9629"/>
        </w:tabs>
        <w:rPr>
          <w:rFonts w:asciiTheme="minorHAnsi" w:eastAsiaTheme="minorEastAsia" w:hAnsiTheme="minorHAnsi" w:cstheme="minorBidi"/>
          <w:b w:val="0"/>
          <w:noProof/>
          <w:sz w:val="22"/>
          <w:szCs w:val="22"/>
          <w:lang w:val="en-US"/>
        </w:rPr>
      </w:pPr>
      <w:hyperlink w:anchor="_Toc513798498" w:history="1">
        <w:r w:rsidRPr="00207B5D">
          <w:rPr>
            <w:rStyle w:val="Hyperlink"/>
            <w:noProof/>
          </w:rPr>
          <w:t>Proposal 3</w:t>
        </w:r>
        <w:r>
          <w:rPr>
            <w:rFonts w:asciiTheme="minorHAnsi" w:eastAsiaTheme="minorEastAsia" w:hAnsiTheme="minorHAnsi" w:cstheme="minorBidi"/>
            <w:b w:val="0"/>
            <w:noProof/>
            <w:sz w:val="22"/>
            <w:szCs w:val="22"/>
            <w:lang w:val="en-US"/>
          </w:rPr>
          <w:tab/>
        </w:r>
        <w:r w:rsidRPr="00207B5D">
          <w:rPr>
            <w:rStyle w:val="Hyperlink"/>
            <w:rFonts w:cs="Arial"/>
            <w:noProof/>
          </w:rPr>
          <w:t xml:space="preserve">For Case 2, </w:t>
        </w:r>
        <w:r w:rsidRPr="00207B5D">
          <w:rPr>
            <w:rStyle w:val="Hyperlink"/>
            <w:rFonts w:cs="Arial"/>
            <w:noProof/>
            <w:lang w:val="en-US" w:eastAsia="x-none"/>
          </w:rPr>
          <w:t>map all candidates of USS search-space-set with lower SS set ID before candidates of USS with higher ID</w:t>
        </w:r>
      </w:hyperlink>
    </w:p>
    <w:p w14:paraId="51B88786" w14:textId="77777777" w:rsidR="00055C7C" w:rsidRDefault="00055C7C">
      <w:pPr>
        <w:pStyle w:val="TableofFigures"/>
        <w:tabs>
          <w:tab w:val="right" w:leader="dot" w:pos="9629"/>
        </w:tabs>
        <w:rPr>
          <w:rFonts w:asciiTheme="minorHAnsi" w:eastAsiaTheme="minorEastAsia" w:hAnsiTheme="minorHAnsi" w:cstheme="minorBidi"/>
          <w:b w:val="0"/>
          <w:noProof/>
          <w:sz w:val="22"/>
          <w:szCs w:val="22"/>
          <w:lang w:val="en-US"/>
        </w:rPr>
      </w:pPr>
      <w:hyperlink w:anchor="_Toc513798499" w:history="1">
        <w:r w:rsidRPr="00207B5D">
          <w:rPr>
            <w:rStyle w:val="Hyperlink"/>
            <w:noProof/>
          </w:rPr>
          <w:t>Proposal 4</w:t>
        </w:r>
        <w:r>
          <w:rPr>
            <w:rFonts w:asciiTheme="minorHAnsi" w:eastAsiaTheme="minorEastAsia" w:hAnsiTheme="minorHAnsi" w:cstheme="minorBidi"/>
            <w:b w:val="0"/>
            <w:noProof/>
            <w:sz w:val="22"/>
            <w:szCs w:val="22"/>
            <w:lang w:val="en-US"/>
          </w:rPr>
          <w:tab/>
        </w:r>
        <w:r w:rsidRPr="00207B5D">
          <w:rPr>
            <w:rStyle w:val="Hyperlink"/>
            <w:rFonts w:cs="Arial"/>
            <w:noProof/>
          </w:rPr>
          <w:t xml:space="preserve">For Case 2, </w:t>
        </w:r>
        <w:r w:rsidRPr="00207B5D">
          <w:rPr>
            <w:rStyle w:val="Hyperlink"/>
            <w:noProof/>
          </w:rPr>
          <w:t>i</w:t>
        </w:r>
        <w:r w:rsidRPr="00207B5D">
          <w:rPr>
            <w:rStyle w:val="Hyperlink"/>
            <w:noProof/>
            <w:lang w:val="en-US"/>
          </w:rPr>
          <w:t>f all candidates in a SS set can’t be mapped, map all candidates of the USS associated with earlier monitoring occasion before candidates of the USS associated with later monitoring occasion in a slot</w:t>
        </w:r>
      </w:hyperlink>
    </w:p>
    <w:p w14:paraId="2F340DAD" w14:textId="77777777" w:rsidR="00055C7C" w:rsidRDefault="00055C7C">
      <w:pPr>
        <w:pStyle w:val="TableofFigures"/>
        <w:tabs>
          <w:tab w:val="right" w:leader="dot" w:pos="9629"/>
        </w:tabs>
        <w:rPr>
          <w:rFonts w:asciiTheme="minorHAnsi" w:eastAsiaTheme="minorEastAsia" w:hAnsiTheme="minorHAnsi" w:cstheme="minorBidi"/>
          <w:b w:val="0"/>
          <w:noProof/>
          <w:sz w:val="22"/>
          <w:szCs w:val="22"/>
          <w:lang w:val="en-US"/>
        </w:rPr>
      </w:pPr>
      <w:hyperlink w:anchor="_Toc513798500" w:history="1">
        <w:r w:rsidRPr="00207B5D">
          <w:rPr>
            <w:rStyle w:val="Hyperlink"/>
            <w:rFonts w:ascii="Symbol" w:hAnsi="Symbol"/>
            <w:noProof/>
          </w:rPr>
          <w:t></w:t>
        </w:r>
        <w:r>
          <w:rPr>
            <w:rFonts w:asciiTheme="minorHAnsi" w:eastAsiaTheme="minorEastAsia" w:hAnsiTheme="minorHAnsi" w:cstheme="minorBidi"/>
            <w:b w:val="0"/>
            <w:noProof/>
            <w:sz w:val="22"/>
            <w:szCs w:val="22"/>
            <w:lang w:val="en-US"/>
          </w:rPr>
          <w:tab/>
        </w:r>
        <w:r w:rsidRPr="00207B5D">
          <w:rPr>
            <w:rStyle w:val="Hyperlink"/>
            <w:rFonts w:cs="Arial"/>
            <w:noProof/>
            <w:lang w:val="en-US" w:eastAsia="x-none"/>
          </w:rPr>
          <w:t>If all candidates in a monitoring occasion in the SS set can’t be mapped, any candidates in the monitoring occasion of the SS set, in the later monitoring occasion(s) of the SS set, and in any subsequent SS sets are dropped (not mapped)</w:t>
        </w:r>
      </w:hyperlink>
    </w:p>
    <w:p w14:paraId="7AFD7232" w14:textId="77777777" w:rsidR="00055C7C" w:rsidRDefault="00055C7C">
      <w:pPr>
        <w:pStyle w:val="TableofFigures"/>
        <w:tabs>
          <w:tab w:val="right" w:leader="dot" w:pos="9629"/>
        </w:tabs>
        <w:rPr>
          <w:rFonts w:asciiTheme="minorHAnsi" w:eastAsiaTheme="minorEastAsia" w:hAnsiTheme="minorHAnsi" w:cstheme="minorBidi"/>
          <w:b w:val="0"/>
          <w:noProof/>
          <w:sz w:val="22"/>
          <w:szCs w:val="22"/>
          <w:lang w:val="en-US"/>
        </w:rPr>
      </w:pPr>
      <w:hyperlink w:anchor="_Toc513798501" w:history="1">
        <w:r w:rsidRPr="00207B5D">
          <w:rPr>
            <w:rStyle w:val="Hyperlink"/>
            <w:noProof/>
          </w:rPr>
          <w:t>Proposal 5</w:t>
        </w:r>
        <w:r>
          <w:rPr>
            <w:rFonts w:asciiTheme="minorHAnsi" w:eastAsiaTheme="minorEastAsia" w:hAnsiTheme="minorHAnsi" w:cstheme="minorBidi"/>
            <w:b w:val="0"/>
            <w:noProof/>
            <w:sz w:val="22"/>
            <w:szCs w:val="22"/>
            <w:lang w:val="en-US"/>
          </w:rPr>
          <w:tab/>
        </w:r>
        <w:r w:rsidRPr="00207B5D">
          <w:rPr>
            <w:rStyle w:val="Hyperlink"/>
            <w:noProof/>
          </w:rPr>
          <w:t xml:space="preserve">Remove the sentence “The UE does not expect to be provided another search space set for monitoring PDCCH in the control resource set provided by </w:t>
        </w:r>
        <w:r w:rsidRPr="00207B5D">
          <w:rPr>
            <w:rStyle w:val="Hyperlink"/>
            <w:i/>
            <w:noProof/>
          </w:rPr>
          <w:t>recoveryControlResourceSetId</w:t>
        </w:r>
        <w:r w:rsidRPr="00207B5D">
          <w:rPr>
            <w:rStyle w:val="Hyperlink"/>
            <w:noProof/>
          </w:rPr>
          <w:t>.” from 38.213.</w:t>
        </w:r>
      </w:hyperlink>
    </w:p>
    <w:p w14:paraId="6812EBE3" w14:textId="77777777" w:rsidR="00055C7C" w:rsidRDefault="00055C7C">
      <w:pPr>
        <w:pStyle w:val="TableofFigures"/>
        <w:tabs>
          <w:tab w:val="right" w:leader="dot" w:pos="9629"/>
        </w:tabs>
        <w:rPr>
          <w:rFonts w:asciiTheme="minorHAnsi" w:eastAsiaTheme="minorEastAsia" w:hAnsiTheme="minorHAnsi" w:cstheme="minorBidi"/>
          <w:b w:val="0"/>
          <w:noProof/>
          <w:sz w:val="22"/>
          <w:szCs w:val="22"/>
          <w:lang w:val="en-US"/>
        </w:rPr>
      </w:pPr>
      <w:hyperlink w:anchor="_Toc513798502" w:history="1">
        <w:r w:rsidRPr="00207B5D">
          <w:rPr>
            <w:rStyle w:val="Hyperlink"/>
            <w:noProof/>
          </w:rPr>
          <w:t>Proposal 6</w:t>
        </w:r>
        <w:r>
          <w:rPr>
            <w:rFonts w:asciiTheme="minorHAnsi" w:eastAsiaTheme="minorEastAsia" w:hAnsiTheme="minorHAnsi" w:cstheme="minorBidi"/>
            <w:b w:val="0"/>
            <w:noProof/>
            <w:sz w:val="22"/>
            <w:szCs w:val="22"/>
            <w:lang w:val="en-US"/>
          </w:rPr>
          <w:tab/>
        </w:r>
        <w:r w:rsidRPr="00207B5D">
          <w:rPr>
            <w:rStyle w:val="Hyperlink"/>
            <w:noProof/>
          </w:rPr>
          <w:t xml:space="preserve">Remove the sentence “Unless the UE transmitted PRACH in response to Beam-failure-recovery-request-RACH-Resource, the UE is not expected to monitor PDCCH candidates in the control resource set provided by </w:t>
        </w:r>
        <w:r w:rsidRPr="00207B5D">
          <w:rPr>
            <w:rStyle w:val="Hyperlink"/>
            <w:i/>
            <w:noProof/>
          </w:rPr>
          <w:t>recoveryControlResourceSetId</w:t>
        </w:r>
        <w:r w:rsidRPr="00207B5D">
          <w:rPr>
            <w:rStyle w:val="Hyperlink"/>
            <w:noProof/>
          </w:rPr>
          <w:t xml:space="preserve"> after the UE receives a higher layer parameter </w:t>
        </w:r>
        <w:r w:rsidRPr="00207B5D">
          <w:rPr>
            <w:rStyle w:val="Hyperlink"/>
            <w:i/>
            <w:noProof/>
          </w:rPr>
          <w:t>ControlResourceSet</w:t>
        </w:r>
        <w:r w:rsidRPr="00207B5D">
          <w:rPr>
            <w:rStyle w:val="Hyperlink"/>
            <w:noProof/>
          </w:rPr>
          <w:t xml:space="preserve"> or after the UE receives a MAC CE activation for a TCI state.” from 38.213.</w:t>
        </w:r>
      </w:hyperlink>
    </w:p>
    <w:p w14:paraId="38F049E4" w14:textId="77777777" w:rsidR="00055C7C" w:rsidRDefault="00055C7C">
      <w:pPr>
        <w:pStyle w:val="TableofFigures"/>
        <w:tabs>
          <w:tab w:val="right" w:leader="dot" w:pos="9629"/>
        </w:tabs>
        <w:rPr>
          <w:rFonts w:asciiTheme="minorHAnsi" w:eastAsiaTheme="minorEastAsia" w:hAnsiTheme="minorHAnsi" w:cstheme="minorBidi"/>
          <w:b w:val="0"/>
          <w:noProof/>
          <w:sz w:val="22"/>
          <w:szCs w:val="22"/>
          <w:lang w:val="en-US"/>
        </w:rPr>
      </w:pPr>
      <w:hyperlink w:anchor="_Toc513798503" w:history="1">
        <w:r w:rsidRPr="00207B5D">
          <w:rPr>
            <w:rStyle w:val="Hyperlink"/>
            <w:noProof/>
            <w:lang w:val="en-US"/>
          </w:rPr>
          <w:t>Proposal 7</w:t>
        </w:r>
        <w:r>
          <w:rPr>
            <w:rFonts w:asciiTheme="minorHAnsi" w:eastAsiaTheme="minorEastAsia" w:hAnsiTheme="minorHAnsi" w:cstheme="minorBidi"/>
            <w:b w:val="0"/>
            <w:noProof/>
            <w:sz w:val="22"/>
            <w:szCs w:val="22"/>
            <w:lang w:val="en-US"/>
          </w:rPr>
          <w:tab/>
        </w:r>
        <w:r w:rsidRPr="00207B5D">
          <w:rPr>
            <w:rStyle w:val="Hyperlink"/>
            <w:noProof/>
          </w:rPr>
          <w:t>Clarify the definition of Case 1 and Case 2.</w:t>
        </w:r>
      </w:hyperlink>
    </w:p>
    <w:p w14:paraId="754F9547" w14:textId="77777777" w:rsidR="00055C7C" w:rsidRDefault="00055C7C">
      <w:pPr>
        <w:pStyle w:val="TableofFigures"/>
        <w:tabs>
          <w:tab w:val="right" w:leader="dot" w:pos="9629"/>
        </w:tabs>
        <w:rPr>
          <w:rFonts w:asciiTheme="minorHAnsi" w:eastAsiaTheme="minorEastAsia" w:hAnsiTheme="minorHAnsi" w:cstheme="minorBidi"/>
          <w:b w:val="0"/>
          <w:noProof/>
          <w:sz w:val="22"/>
          <w:szCs w:val="22"/>
          <w:lang w:val="en-US"/>
        </w:rPr>
      </w:pPr>
      <w:hyperlink w:anchor="_Toc513798504" w:history="1">
        <w:r w:rsidRPr="00207B5D">
          <w:rPr>
            <w:rStyle w:val="Hyperlink"/>
            <w:noProof/>
            <w:lang w:val="en-US"/>
          </w:rPr>
          <w:t>Proposal 8</w:t>
        </w:r>
        <w:r>
          <w:rPr>
            <w:rFonts w:asciiTheme="minorHAnsi" w:eastAsiaTheme="minorEastAsia" w:hAnsiTheme="minorHAnsi" w:cstheme="minorBidi"/>
            <w:b w:val="0"/>
            <w:noProof/>
            <w:sz w:val="22"/>
            <w:szCs w:val="22"/>
            <w:lang w:val="en-US"/>
          </w:rPr>
          <w:tab/>
        </w:r>
        <w:r w:rsidRPr="00207B5D">
          <w:rPr>
            <w:rStyle w:val="Hyperlink"/>
            <w:noProof/>
            <w:lang w:val="en-US"/>
          </w:rPr>
          <w:t>For Rel-15 June 2018 version of Case 2, the number of PDCCH blind decodes for PDCCH monitoring occasion(s) whose first symbol(s) are in the first half slot is {44, 36, 22, 20} for SCS {15kHz, 30kHz, 60kHz, 120kHz}, and for PDCCH monitoring occasion(s) whose first symbol(s) are in the second half slot is {44, 36, 22, 20} for SCS {15kHz, 30kHz, 60kHz, 120kHz}.</w:t>
        </w:r>
      </w:hyperlink>
    </w:p>
    <w:p w14:paraId="091EC2C0" w14:textId="77777777" w:rsidR="00055C7C" w:rsidRDefault="00055C7C">
      <w:pPr>
        <w:pStyle w:val="TableofFigures"/>
        <w:tabs>
          <w:tab w:val="right" w:leader="dot" w:pos="9629"/>
        </w:tabs>
        <w:rPr>
          <w:rFonts w:asciiTheme="minorHAnsi" w:eastAsiaTheme="minorEastAsia" w:hAnsiTheme="minorHAnsi" w:cstheme="minorBidi"/>
          <w:b w:val="0"/>
          <w:noProof/>
          <w:sz w:val="22"/>
          <w:szCs w:val="22"/>
          <w:lang w:val="en-US"/>
        </w:rPr>
      </w:pPr>
      <w:hyperlink w:anchor="_Toc513798505" w:history="1">
        <w:r w:rsidRPr="00207B5D">
          <w:rPr>
            <w:rStyle w:val="Hyperlink"/>
            <w:noProof/>
            <w:lang w:val="en-US"/>
          </w:rPr>
          <w:t>Proposal 9</w:t>
        </w:r>
        <w:r>
          <w:rPr>
            <w:rFonts w:asciiTheme="minorHAnsi" w:eastAsiaTheme="minorEastAsia" w:hAnsiTheme="minorHAnsi" w:cstheme="minorBidi"/>
            <w:b w:val="0"/>
            <w:noProof/>
            <w:sz w:val="22"/>
            <w:szCs w:val="22"/>
            <w:lang w:val="en-US"/>
          </w:rPr>
          <w:tab/>
        </w:r>
        <w:r w:rsidRPr="00207B5D">
          <w:rPr>
            <w:rStyle w:val="Hyperlink"/>
            <w:noProof/>
            <w:lang w:val="en-US"/>
          </w:rPr>
          <w:t>For Rel-15 June 2018 version of Case 2, number of CCEs for channel estimation for PDCCH monitoring occasion(s) whose first symbol(s) are in the first half slot is {56, 56, 48, 32} for SCS {15kHz, 30kHz, 60kHz, 120kHz}, and for PDCCH monitoring occasion(s) whose first symbol(s) are in the second half slot is {56, 56, 48, 32} for SCS {15kHz, 30kHz, 60kHz, 120kHz}.</w:t>
        </w:r>
      </w:hyperlink>
    </w:p>
    <w:p w14:paraId="7C220043" w14:textId="77777777" w:rsidR="00055C7C" w:rsidRDefault="00055C7C">
      <w:pPr>
        <w:pStyle w:val="TableofFigures"/>
        <w:tabs>
          <w:tab w:val="right" w:leader="dot" w:pos="9629"/>
        </w:tabs>
        <w:rPr>
          <w:rFonts w:asciiTheme="minorHAnsi" w:eastAsiaTheme="minorEastAsia" w:hAnsiTheme="minorHAnsi" w:cstheme="minorBidi"/>
          <w:b w:val="0"/>
          <w:noProof/>
          <w:sz w:val="22"/>
          <w:szCs w:val="22"/>
          <w:lang w:val="en-US"/>
        </w:rPr>
      </w:pPr>
      <w:hyperlink w:anchor="_Toc513798506" w:history="1">
        <w:r w:rsidRPr="00207B5D">
          <w:rPr>
            <w:rStyle w:val="Hyperlink"/>
            <w:noProof/>
            <w:lang w:val="en-US"/>
          </w:rPr>
          <w:t>Proposal 10</w:t>
        </w:r>
        <w:r>
          <w:rPr>
            <w:rFonts w:asciiTheme="minorHAnsi" w:eastAsiaTheme="minorEastAsia" w:hAnsiTheme="minorHAnsi" w:cstheme="minorBidi"/>
            <w:b w:val="0"/>
            <w:noProof/>
            <w:sz w:val="22"/>
            <w:szCs w:val="22"/>
            <w:lang w:val="en-US"/>
          </w:rPr>
          <w:tab/>
        </w:r>
        <w:r w:rsidRPr="00207B5D">
          <w:rPr>
            <w:rStyle w:val="Hyperlink"/>
            <w:noProof/>
            <w:lang w:val="en-US"/>
          </w:rPr>
          <w:t>Adopt the following TP for TS 38.213</w:t>
        </w:r>
      </w:hyperlink>
      <w:bookmarkStart w:id="33" w:name="_GoBack"/>
      <w:bookmarkEnd w:id="33"/>
    </w:p>
    <w:p w14:paraId="3F70F33D" w14:textId="77777777" w:rsidR="00055C7C" w:rsidRDefault="00055C7C">
      <w:pPr>
        <w:pStyle w:val="TableofFigures"/>
        <w:tabs>
          <w:tab w:val="right" w:leader="dot" w:pos="9629"/>
        </w:tabs>
        <w:rPr>
          <w:rFonts w:asciiTheme="minorHAnsi" w:eastAsiaTheme="minorEastAsia" w:hAnsiTheme="minorHAnsi" w:cstheme="minorBidi"/>
          <w:b w:val="0"/>
          <w:noProof/>
          <w:sz w:val="22"/>
          <w:szCs w:val="22"/>
          <w:lang w:val="en-US"/>
        </w:rPr>
      </w:pPr>
      <w:hyperlink w:anchor="_Toc513798507" w:history="1">
        <w:r w:rsidRPr="00207B5D">
          <w:rPr>
            <w:rStyle w:val="Hyperlink"/>
            <w:noProof/>
          </w:rPr>
          <w:t xml:space="preserve">“If the higher layer parameter </w:t>
        </w:r>
        <w:r w:rsidRPr="00207B5D">
          <w:rPr>
            <w:rStyle w:val="Hyperlink"/>
            <w:i/>
            <w:noProof/>
          </w:rPr>
          <w:t>monitoringSymbolsWithinSlot</w:t>
        </w:r>
        <w:r w:rsidRPr="00207B5D">
          <w:rPr>
            <w:rStyle w:val="Hyperlink"/>
            <w:noProof/>
          </w:rPr>
          <w:t xml:space="preserve"> indicates to a UE only one PDCCH monitoring occasion within a slot, the UE does not expect to be configured a corresponding search space set </w:t>
        </w:r>
        <w:r>
          <w:rPr>
            <w:noProof/>
            <w:position w:val="-6"/>
            <w:lang w:eastAsia="en-US"/>
          </w:rPr>
          <w:object w:dxaOrig="165" w:dyaOrig="195" w14:anchorId="2AFBB5B6">
            <v:shape id="_x0000_i1075" type="#_x0000_t75" style="width:8.15pt;height:10pt" o:ole="">
              <v:imagedata r:id="rId9" o:title=""/>
            </v:shape>
            <o:OLEObject Type="Embed" ProgID="Equation.3" ShapeID="_x0000_i1075" DrawAspect="Content" ObjectID="_1587540409" r:id="rId37"/>
          </w:object>
        </w:r>
        <w:r w:rsidRPr="00207B5D">
          <w:rPr>
            <w:rStyle w:val="Hyperlink"/>
            <w:noProof/>
          </w:rPr>
          <w:t xml:space="preserve"> </w:t>
        </w:r>
        <w:r w:rsidRPr="00055C7C">
          <w:rPr>
            <w:rStyle w:val="Hyperlink"/>
            <w:noProof/>
            <w:color w:val="FF0000"/>
          </w:rPr>
          <w:t>other than search space set 0</w:t>
        </w:r>
        <w:r w:rsidRPr="00207B5D">
          <w:rPr>
            <w:rStyle w:val="Hyperlink"/>
            <w:noProof/>
          </w:rPr>
          <w:t xml:space="preserve"> for a PDCCH subcarrier spacing other than 15 kHz if the control resource set </w:t>
        </w:r>
        <w:r>
          <w:rPr>
            <w:noProof/>
            <w:position w:val="-10"/>
            <w:lang w:eastAsia="en-US"/>
          </w:rPr>
          <w:object w:dxaOrig="195" w:dyaOrig="240" w14:anchorId="1576E155">
            <v:shape id="_x0000_i1076" type="#_x0000_t75" style="width:10pt;height:11.9pt" o:ole="">
              <v:imagedata r:id="rId11" o:title=""/>
            </v:shape>
            <o:OLEObject Type="Embed" ProgID="Equation.3" ShapeID="_x0000_i1076" DrawAspect="Content" ObjectID="_1587540410" r:id="rId38"/>
          </w:object>
        </w:r>
        <w:r w:rsidRPr="00207B5D">
          <w:rPr>
            <w:rStyle w:val="Hyperlink"/>
            <w:noProof/>
          </w:rPr>
          <w:t xml:space="preserve"> associated with the search space </w:t>
        </w:r>
        <w:r>
          <w:rPr>
            <w:noProof/>
            <w:position w:val="-6"/>
            <w:lang w:eastAsia="en-US"/>
          </w:rPr>
          <w:object w:dxaOrig="165" w:dyaOrig="195" w14:anchorId="0CAF4808">
            <v:shape id="_x0000_i1077" type="#_x0000_t75" style="width:8.15pt;height:10pt" o:ole="">
              <v:imagedata r:id="rId9" o:title=""/>
            </v:shape>
            <o:OLEObject Type="Embed" ProgID="Equation.3" ShapeID="_x0000_i1077" DrawAspect="Content" ObjectID="_1587540411" r:id="rId39"/>
          </w:object>
        </w:r>
        <w:r w:rsidRPr="00207B5D">
          <w:rPr>
            <w:rStyle w:val="Hyperlink"/>
            <w:noProof/>
          </w:rPr>
          <w:t xml:space="preserve"> includes at least one symbol after the third slot symbol.”</w:t>
        </w:r>
      </w:hyperlink>
    </w:p>
    <w:p w14:paraId="6B305063" w14:textId="77777777" w:rsidR="00055C7C" w:rsidRDefault="00055C7C">
      <w:pPr>
        <w:pStyle w:val="TableofFigures"/>
        <w:tabs>
          <w:tab w:val="right" w:leader="dot" w:pos="9629"/>
        </w:tabs>
        <w:rPr>
          <w:rFonts w:asciiTheme="minorHAnsi" w:eastAsiaTheme="minorEastAsia" w:hAnsiTheme="minorHAnsi" w:cstheme="minorBidi"/>
          <w:b w:val="0"/>
          <w:noProof/>
          <w:sz w:val="22"/>
          <w:szCs w:val="22"/>
          <w:lang w:val="en-US"/>
        </w:rPr>
      </w:pPr>
      <w:hyperlink w:anchor="_Toc513798508" w:history="1">
        <w:r w:rsidRPr="00207B5D">
          <w:rPr>
            <w:rStyle w:val="Hyperlink"/>
            <w:noProof/>
            <w:lang w:val="en-US"/>
          </w:rPr>
          <w:t>Proposal 11</w:t>
        </w:r>
        <w:r>
          <w:rPr>
            <w:rFonts w:asciiTheme="minorHAnsi" w:eastAsiaTheme="minorEastAsia" w:hAnsiTheme="minorHAnsi" w:cstheme="minorBidi"/>
            <w:b w:val="0"/>
            <w:noProof/>
            <w:sz w:val="22"/>
            <w:szCs w:val="22"/>
            <w:lang w:val="en-US"/>
          </w:rPr>
          <w:tab/>
        </w:r>
        <w:r w:rsidRPr="00207B5D">
          <w:rPr>
            <w:rStyle w:val="Hyperlink"/>
            <w:noProof/>
            <w:lang w:val="en-US"/>
          </w:rPr>
          <w:t>Adopt the following TP for TS 38.213:</w:t>
        </w:r>
      </w:hyperlink>
    </w:p>
    <w:p w14:paraId="3788CF04" w14:textId="77777777" w:rsidR="00055C7C" w:rsidRDefault="00055C7C">
      <w:pPr>
        <w:pStyle w:val="TableofFigures"/>
        <w:tabs>
          <w:tab w:val="right" w:leader="dot" w:pos="9629"/>
        </w:tabs>
        <w:rPr>
          <w:rFonts w:asciiTheme="minorHAnsi" w:eastAsiaTheme="minorEastAsia" w:hAnsiTheme="minorHAnsi" w:cstheme="minorBidi"/>
          <w:b w:val="0"/>
          <w:noProof/>
          <w:sz w:val="22"/>
          <w:szCs w:val="22"/>
          <w:lang w:val="en-US"/>
        </w:rPr>
      </w:pPr>
      <w:hyperlink w:anchor="_Toc513798509" w:history="1">
        <w:r w:rsidRPr="00207B5D">
          <w:rPr>
            <w:rStyle w:val="Hyperlink"/>
            <w:noProof/>
          </w:rPr>
          <w:t xml:space="preserve">“A PDCCH UE-specific search space </w:t>
        </w:r>
        <w:r w:rsidRPr="005A516B">
          <w:rPr>
            <w:strike/>
            <w:noProof/>
            <w:color w:val="FF0000"/>
            <w:position w:val="-16"/>
          </w:rPr>
          <w:object w:dxaOrig="420" w:dyaOrig="400" w14:anchorId="3B6B1FB1">
            <v:shape id="_x0000_i1078" type="#_x0000_t75" style="width:20.05pt;height:19.4pt" o:ole="">
              <v:imagedata r:id="rId22" o:title=""/>
            </v:shape>
            <o:OLEObject Type="Embed" ProgID="Equation.3" ShapeID="_x0000_i1078" DrawAspect="Content" ObjectID="_1587540412" r:id="rId40"/>
          </w:object>
        </w:r>
        <w:r w:rsidRPr="00207B5D">
          <w:rPr>
            <w:rStyle w:val="Hyperlink"/>
            <w:noProof/>
          </w:rPr>
          <w:t xml:space="preserve"> at CCE aggregation level </w:t>
        </w:r>
        <w:r w:rsidRPr="00B916EC">
          <w:rPr>
            <w:noProof/>
            <w:position w:val="-10"/>
          </w:rPr>
          <w:object w:dxaOrig="1380" w:dyaOrig="300" w14:anchorId="17AB9967">
            <v:shape id="_x0000_i1079" type="#_x0000_t75" style="width:68.25pt;height:14.4pt" o:ole="">
              <v:imagedata r:id="rId27" o:title=""/>
            </v:shape>
            <o:OLEObject Type="Embed" ProgID="Equation.3" ShapeID="_x0000_i1079" DrawAspect="Content" ObjectID="_1587540413" r:id="rId41"/>
          </w:object>
        </w:r>
        <w:r w:rsidRPr="00207B5D">
          <w:rPr>
            <w:rStyle w:val="Hyperlink"/>
            <w:noProof/>
          </w:rPr>
          <w:t xml:space="preserve"> is defined by a set of PDCCH candidates for CCE aggregation level </w:t>
        </w:r>
        <w:r w:rsidRPr="00B916EC">
          <w:rPr>
            <w:noProof/>
            <w:position w:val="-4"/>
          </w:rPr>
          <w:object w:dxaOrig="200" w:dyaOrig="220" w14:anchorId="2D28BE90">
            <v:shape id="_x0000_i1080" type="#_x0000_t75" style="width:10pt;height:11.25pt" o:ole="">
              <v:imagedata r:id="rId29" o:title=""/>
            </v:shape>
            <o:OLEObject Type="Embed" ProgID="Equation.3" ShapeID="_x0000_i1080" DrawAspect="Content" ObjectID="_1587540414" r:id="rId42"/>
          </w:object>
        </w:r>
        <w:r w:rsidRPr="00207B5D">
          <w:rPr>
            <w:rStyle w:val="Hyperlink"/>
            <w:noProof/>
          </w:rPr>
          <w:t>.”</w:t>
        </w:r>
      </w:hyperlink>
    </w:p>
    <w:p w14:paraId="5D25E0D1" w14:textId="281439D7" w:rsidR="0061623E" w:rsidRPr="00AA75E3" w:rsidRDefault="006E1C82" w:rsidP="00CB3AFC">
      <w:pPr>
        <w:pStyle w:val="BodyText"/>
        <w:rPr>
          <w:b/>
          <w:bCs/>
          <w:lang w:val="en-US"/>
        </w:rPr>
      </w:pPr>
      <w:r>
        <w:rPr>
          <w:b/>
          <w:bCs/>
          <w:lang w:val="en-US"/>
        </w:rPr>
        <w:fldChar w:fldCharType="end"/>
      </w:r>
    </w:p>
    <w:p w14:paraId="7203AEF7" w14:textId="77777777" w:rsidR="00F507D1" w:rsidRPr="00CE0424" w:rsidRDefault="00F507D1" w:rsidP="00CE0424">
      <w:pPr>
        <w:pStyle w:val="Heading1"/>
      </w:pPr>
      <w:bookmarkStart w:id="34" w:name="_In-sequence_SDU_delivery"/>
      <w:bookmarkEnd w:id="34"/>
      <w:r w:rsidRPr="00CE0424">
        <w:t>References</w:t>
      </w:r>
    </w:p>
    <w:p w14:paraId="75FECC4C" w14:textId="77777777" w:rsidR="00715EB1" w:rsidRPr="000A3BCC" w:rsidRDefault="00715EB1" w:rsidP="00715EB1">
      <w:pPr>
        <w:pStyle w:val="Reference"/>
      </w:pPr>
      <w:bookmarkStart w:id="35" w:name="_Ref510504022"/>
      <w:bookmarkStart w:id="36" w:name="_Ref510814820"/>
      <w:bookmarkStart w:id="37" w:name="_Ref174151459"/>
      <w:bookmarkStart w:id="38" w:name="_Ref189809556"/>
      <w:r w:rsidRPr="000A3BCC">
        <w:t>3GPP TS 38.213 v15.0.1: "NR; Physical layer procedures for control"</w:t>
      </w:r>
      <w:bookmarkEnd w:id="35"/>
      <w:r w:rsidRPr="000A3BCC">
        <w:t>, RAN #79, March 2018</w:t>
      </w:r>
      <w:bookmarkEnd w:id="36"/>
    </w:p>
    <w:p w14:paraId="776F3443" w14:textId="2EB55696" w:rsidR="005F3025" w:rsidRDefault="00715EB1" w:rsidP="00715EB1">
      <w:pPr>
        <w:pStyle w:val="Reference"/>
      </w:pPr>
      <w:bookmarkStart w:id="39" w:name="_Ref513453939"/>
      <w:r>
        <w:t xml:space="preserve">R1-1805795, </w:t>
      </w:r>
      <w:r w:rsidR="001705A0">
        <w:t>“</w:t>
      </w:r>
      <w:r>
        <w:t>CR to 38.213 v 15.1.0,</w:t>
      </w:r>
      <w:r w:rsidR="001705A0">
        <w:t>”</w:t>
      </w:r>
      <w:r>
        <w:t xml:space="preserve"> Samsung, RAN1 #92bis, Sanya, April 2018</w:t>
      </w:r>
      <w:bookmarkEnd w:id="37"/>
      <w:bookmarkEnd w:id="38"/>
      <w:bookmarkEnd w:id="39"/>
    </w:p>
    <w:p w14:paraId="3C76021C" w14:textId="4559706D" w:rsidR="003C728F" w:rsidRDefault="003C728F" w:rsidP="003C728F">
      <w:pPr>
        <w:pStyle w:val="Reference"/>
      </w:pPr>
      <w:bookmarkStart w:id="40" w:name="_Ref513644601"/>
      <w:r w:rsidRPr="003C728F">
        <w:t>R1-1806251</w:t>
      </w:r>
      <w:r w:rsidR="001705A0">
        <w:t>,</w:t>
      </w:r>
      <w:r>
        <w:t xml:space="preserve"> </w:t>
      </w:r>
      <w:r w:rsidR="001705A0">
        <w:t>“</w:t>
      </w:r>
      <w:r w:rsidRPr="003C728F">
        <w:t>On DL Signals and channels</w:t>
      </w:r>
      <w:r>
        <w:t>,</w:t>
      </w:r>
      <w:r w:rsidR="001705A0">
        <w:t>”</w:t>
      </w:r>
      <w:r>
        <w:t xml:space="preserve"> Ericsson</w:t>
      </w:r>
      <w:bookmarkEnd w:id="40"/>
    </w:p>
    <w:p w14:paraId="4DC9EC18" w14:textId="0DCF47BE" w:rsidR="003C728F" w:rsidRPr="00CE0424" w:rsidRDefault="003C728F" w:rsidP="003C728F">
      <w:pPr>
        <w:pStyle w:val="Reference"/>
      </w:pPr>
      <w:bookmarkStart w:id="41" w:name="_Ref513644679"/>
      <w:r w:rsidRPr="003C728F">
        <w:lastRenderedPageBreak/>
        <w:t>R1-1806019</w:t>
      </w:r>
      <w:r w:rsidR="001705A0">
        <w:t>, “</w:t>
      </w:r>
      <w:r w:rsidRPr="003C728F">
        <w:t>Search Space Design for URLLC</w:t>
      </w:r>
      <w:r>
        <w:t>,</w:t>
      </w:r>
      <w:r w:rsidR="001705A0">
        <w:t>”</w:t>
      </w:r>
      <w:r>
        <w:t xml:space="preserve"> </w:t>
      </w:r>
      <w:r w:rsidRPr="003C728F">
        <w:t>Ericsson</w:t>
      </w:r>
      <w:bookmarkEnd w:id="41"/>
    </w:p>
    <w:sectPr w:rsidR="003C728F" w:rsidRPr="00CE0424" w:rsidSect="00C473A5">
      <w:headerReference w:type="even" r:id="rId43"/>
      <w:footerReference w:type="default" r:id="rId4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996BCD" w14:textId="77777777" w:rsidR="001C1DD3" w:rsidRDefault="001C1DD3">
      <w:r>
        <w:separator/>
      </w:r>
    </w:p>
  </w:endnote>
  <w:endnote w:type="continuationSeparator" w:id="0">
    <w:p w14:paraId="66A40462" w14:textId="77777777" w:rsidR="001C1DD3" w:rsidRDefault="001C1D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1CA12774" w:rsidR="00CC6E94" w:rsidRDefault="00CC6E9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55C7C">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55C7C">
      <w:rPr>
        <w:rStyle w:val="PageNumber"/>
      </w:rPr>
      <w:t>9</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F1E002" w14:textId="77777777" w:rsidR="001C1DD3" w:rsidRDefault="001C1DD3">
      <w:r>
        <w:separator/>
      </w:r>
    </w:p>
  </w:footnote>
  <w:footnote w:type="continuationSeparator" w:id="0">
    <w:p w14:paraId="5ACA0CD3" w14:textId="77777777" w:rsidR="001C1DD3" w:rsidRDefault="001C1D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CC6E94" w:rsidRDefault="00CC6E9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74E4280"/>
    <w:multiLevelType w:val="hybridMultilevel"/>
    <w:tmpl w:val="B3BCD288"/>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6" w15:restartNumberingAfterBreak="0">
    <w:nsid w:val="1990567F"/>
    <w:multiLevelType w:val="hybridMultilevel"/>
    <w:tmpl w:val="2BCECAA2"/>
    <w:lvl w:ilvl="0" w:tplc="04090001">
      <w:start w:val="1"/>
      <w:numFmt w:val="bullet"/>
      <w:lvlText w:val=""/>
      <w:lvlJc w:val="left"/>
      <w:pPr>
        <w:ind w:left="2421" w:hanging="360"/>
      </w:pPr>
      <w:rPr>
        <w:rFonts w:ascii="Symbol" w:hAnsi="Symbol" w:hint="default"/>
      </w:rPr>
    </w:lvl>
    <w:lvl w:ilvl="1" w:tplc="04090003">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7" w15:restartNumberingAfterBreak="0">
    <w:nsid w:val="1CA63701"/>
    <w:multiLevelType w:val="hybridMultilevel"/>
    <w:tmpl w:val="DA629EE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913663B"/>
    <w:multiLevelType w:val="hybridMultilevel"/>
    <w:tmpl w:val="80408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FB02011"/>
    <w:multiLevelType w:val="hybridMultilevel"/>
    <w:tmpl w:val="BC9EAF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4D91D7E"/>
    <w:multiLevelType w:val="hybridMultilevel"/>
    <w:tmpl w:val="4F586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DB4CFB"/>
    <w:multiLevelType w:val="hybridMultilevel"/>
    <w:tmpl w:val="266C51EA"/>
    <w:lvl w:ilvl="0" w:tplc="2F24D106">
      <w:start w:val="1"/>
      <w:numFmt w:val="bullet"/>
      <w:lvlText w:val="•"/>
      <w:lvlJc w:val="left"/>
      <w:pPr>
        <w:tabs>
          <w:tab w:val="num" w:pos="720"/>
        </w:tabs>
        <w:ind w:left="720" w:hanging="360"/>
      </w:pPr>
      <w:rPr>
        <w:rFonts w:ascii="Times New Roman" w:hAnsi="Times New Roman" w:hint="default"/>
      </w:rPr>
    </w:lvl>
    <w:lvl w:ilvl="1" w:tplc="55CA9262">
      <w:start w:val="174"/>
      <w:numFmt w:val="bullet"/>
      <w:lvlText w:val="•"/>
      <w:lvlJc w:val="left"/>
      <w:pPr>
        <w:tabs>
          <w:tab w:val="num" w:pos="1440"/>
        </w:tabs>
        <w:ind w:left="1440" w:hanging="360"/>
      </w:pPr>
      <w:rPr>
        <w:rFonts w:ascii="Times New Roman" w:hAnsi="Times New Roman" w:hint="default"/>
      </w:rPr>
    </w:lvl>
    <w:lvl w:ilvl="2" w:tplc="4456F8DC">
      <w:start w:val="1"/>
      <w:numFmt w:val="bullet"/>
      <w:lvlText w:val="•"/>
      <w:lvlJc w:val="left"/>
      <w:pPr>
        <w:tabs>
          <w:tab w:val="num" w:pos="2160"/>
        </w:tabs>
        <w:ind w:left="2160" w:hanging="360"/>
      </w:pPr>
      <w:rPr>
        <w:rFonts w:ascii="Times New Roman" w:hAnsi="Times New Roman" w:hint="default"/>
      </w:rPr>
    </w:lvl>
    <w:lvl w:ilvl="3" w:tplc="96B2C0F8">
      <w:start w:val="1"/>
      <w:numFmt w:val="bullet"/>
      <w:lvlText w:val="•"/>
      <w:lvlJc w:val="left"/>
      <w:pPr>
        <w:tabs>
          <w:tab w:val="num" w:pos="2880"/>
        </w:tabs>
        <w:ind w:left="2880" w:hanging="360"/>
      </w:pPr>
      <w:rPr>
        <w:rFonts w:ascii="Times New Roman" w:hAnsi="Times New Roman" w:hint="default"/>
      </w:rPr>
    </w:lvl>
    <w:lvl w:ilvl="4" w:tplc="A24EFC3E" w:tentative="1">
      <w:start w:val="1"/>
      <w:numFmt w:val="bullet"/>
      <w:lvlText w:val="•"/>
      <w:lvlJc w:val="left"/>
      <w:pPr>
        <w:tabs>
          <w:tab w:val="num" w:pos="3600"/>
        </w:tabs>
        <w:ind w:left="3600" w:hanging="360"/>
      </w:pPr>
      <w:rPr>
        <w:rFonts w:ascii="Times New Roman" w:hAnsi="Times New Roman" w:hint="default"/>
      </w:rPr>
    </w:lvl>
    <w:lvl w:ilvl="5" w:tplc="661CB7EA" w:tentative="1">
      <w:start w:val="1"/>
      <w:numFmt w:val="bullet"/>
      <w:lvlText w:val="•"/>
      <w:lvlJc w:val="left"/>
      <w:pPr>
        <w:tabs>
          <w:tab w:val="num" w:pos="4320"/>
        </w:tabs>
        <w:ind w:left="4320" w:hanging="360"/>
      </w:pPr>
      <w:rPr>
        <w:rFonts w:ascii="Times New Roman" w:hAnsi="Times New Roman" w:hint="default"/>
      </w:rPr>
    </w:lvl>
    <w:lvl w:ilvl="6" w:tplc="0BD2DEA2" w:tentative="1">
      <w:start w:val="1"/>
      <w:numFmt w:val="bullet"/>
      <w:lvlText w:val="•"/>
      <w:lvlJc w:val="left"/>
      <w:pPr>
        <w:tabs>
          <w:tab w:val="num" w:pos="5040"/>
        </w:tabs>
        <w:ind w:left="5040" w:hanging="360"/>
      </w:pPr>
      <w:rPr>
        <w:rFonts w:ascii="Times New Roman" w:hAnsi="Times New Roman" w:hint="default"/>
      </w:rPr>
    </w:lvl>
    <w:lvl w:ilvl="7" w:tplc="B1F8E2AC" w:tentative="1">
      <w:start w:val="1"/>
      <w:numFmt w:val="bullet"/>
      <w:lvlText w:val="•"/>
      <w:lvlJc w:val="left"/>
      <w:pPr>
        <w:tabs>
          <w:tab w:val="num" w:pos="5760"/>
        </w:tabs>
        <w:ind w:left="5760" w:hanging="360"/>
      </w:pPr>
      <w:rPr>
        <w:rFonts w:ascii="Times New Roman" w:hAnsi="Times New Roman" w:hint="default"/>
      </w:rPr>
    </w:lvl>
    <w:lvl w:ilvl="8" w:tplc="73C26258"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A2B2748"/>
    <w:multiLevelType w:val="hybridMultilevel"/>
    <w:tmpl w:val="791A400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E3D3CAD"/>
    <w:multiLevelType w:val="hybridMultilevel"/>
    <w:tmpl w:val="CD74870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6" w15:restartNumberingAfterBreak="0">
    <w:nsid w:val="500A4858"/>
    <w:multiLevelType w:val="hybridMultilevel"/>
    <w:tmpl w:val="2A823D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64277011"/>
    <w:multiLevelType w:val="hybridMultilevel"/>
    <w:tmpl w:val="230AB068"/>
    <w:lvl w:ilvl="0" w:tplc="FA38FD5C">
      <w:start w:val="1"/>
      <w:numFmt w:val="bullet"/>
      <w:lvlText w:val="•"/>
      <w:lvlJc w:val="left"/>
      <w:pPr>
        <w:tabs>
          <w:tab w:val="num" w:pos="720"/>
        </w:tabs>
        <w:ind w:left="720" w:hanging="360"/>
      </w:pPr>
      <w:rPr>
        <w:rFonts w:ascii="Arial" w:hAnsi="Arial" w:hint="default"/>
      </w:rPr>
    </w:lvl>
    <w:lvl w:ilvl="1" w:tplc="5C7678B2">
      <w:numFmt w:val="bullet"/>
      <w:lvlText w:val="•"/>
      <w:lvlJc w:val="left"/>
      <w:pPr>
        <w:tabs>
          <w:tab w:val="num" w:pos="1440"/>
        </w:tabs>
        <w:ind w:left="1440" w:hanging="360"/>
      </w:pPr>
      <w:rPr>
        <w:rFonts w:ascii="Arial" w:hAnsi="Arial" w:hint="default"/>
      </w:rPr>
    </w:lvl>
    <w:lvl w:ilvl="2" w:tplc="E9EA5986">
      <w:numFmt w:val="bullet"/>
      <w:lvlText w:val="•"/>
      <w:lvlJc w:val="left"/>
      <w:pPr>
        <w:tabs>
          <w:tab w:val="num" w:pos="2160"/>
        </w:tabs>
        <w:ind w:left="2160" w:hanging="360"/>
      </w:pPr>
      <w:rPr>
        <w:rFonts w:ascii="Arial" w:hAnsi="Arial" w:hint="default"/>
      </w:rPr>
    </w:lvl>
    <w:lvl w:ilvl="3" w:tplc="EFA63648">
      <w:numFmt w:val="bullet"/>
      <w:lvlText w:val="•"/>
      <w:lvlJc w:val="left"/>
      <w:pPr>
        <w:tabs>
          <w:tab w:val="num" w:pos="2880"/>
        </w:tabs>
        <w:ind w:left="2880" w:hanging="360"/>
      </w:pPr>
      <w:rPr>
        <w:rFonts w:ascii="Arial" w:hAnsi="Arial" w:hint="default"/>
      </w:rPr>
    </w:lvl>
    <w:lvl w:ilvl="4" w:tplc="B3FEA9D0" w:tentative="1">
      <w:start w:val="1"/>
      <w:numFmt w:val="bullet"/>
      <w:lvlText w:val="•"/>
      <w:lvlJc w:val="left"/>
      <w:pPr>
        <w:tabs>
          <w:tab w:val="num" w:pos="3600"/>
        </w:tabs>
        <w:ind w:left="3600" w:hanging="360"/>
      </w:pPr>
      <w:rPr>
        <w:rFonts w:ascii="Arial" w:hAnsi="Arial" w:hint="default"/>
      </w:rPr>
    </w:lvl>
    <w:lvl w:ilvl="5" w:tplc="0524ADD4" w:tentative="1">
      <w:start w:val="1"/>
      <w:numFmt w:val="bullet"/>
      <w:lvlText w:val="•"/>
      <w:lvlJc w:val="left"/>
      <w:pPr>
        <w:tabs>
          <w:tab w:val="num" w:pos="4320"/>
        </w:tabs>
        <w:ind w:left="4320" w:hanging="360"/>
      </w:pPr>
      <w:rPr>
        <w:rFonts w:ascii="Arial" w:hAnsi="Arial" w:hint="default"/>
      </w:rPr>
    </w:lvl>
    <w:lvl w:ilvl="6" w:tplc="289E9590" w:tentative="1">
      <w:start w:val="1"/>
      <w:numFmt w:val="bullet"/>
      <w:lvlText w:val="•"/>
      <w:lvlJc w:val="left"/>
      <w:pPr>
        <w:tabs>
          <w:tab w:val="num" w:pos="5040"/>
        </w:tabs>
        <w:ind w:left="5040" w:hanging="360"/>
      </w:pPr>
      <w:rPr>
        <w:rFonts w:ascii="Arial" w:hAnsi="Arial" w:hint="default"/>
      </w:rPr>
    </w:lvl>
    <w:lvl w:ilvl="7" w:tplc="2FC646D4" w:tentative="1">
      <w:start w:val="1"/>
      <w:numFmt w:val="bullet"/>
      <w:lvlText w:val="•"/>
      <w:lvlJc w:val="left"/>
      <w:pPr>
        <w:tabs>
          <w:tab w:val="num" w:pos="5760"/>
        </w:tabs>
        <w:ind w:left="5760" w:hanging="360"/>
      </w:pPr>
      <w:rPr>
        <w:rFonts w:ascii="Arial" w:hAnsi="Arial" w:hint="default"/>
      </w:rPr>
    </w:lvl>
    <w:lvl w:ilvl="8" w:tplc="9DF4098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92456BE"/>
    <w:multiLevelType w:val="hybridMultilevel"/>
    <w:tmpl w:val="17D6C10E"/>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6F403C41"/>
    <w:multiLevelType w:val="hybridMultilevel"/>
    <w:tmpl w:val="8C5039A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FF64BA2"/>
    <w:multiLevelType w:val="hybridMultilevel"/>
    <w:tmpl w:val="A0E4E1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4"/>
  </w:num>
  <w:num w:numId="3">
    <w:abstractNumId w:val="19"/>
  </w:num>
  <w:num w:numId="4">
    <w:abstractNumId w:val="20"/>
  </w:num>
  <w:num w:numId="5">
    <w:abstractNumId w:val="14"/>
  </w:num>
  <w:num w:numId="6">
    <w:abstractNumId w:val="22"/>
  </w:num>
  <w:num w:numId="7">
    <w:abstractNumId w:val="29"/>
  </w:num>
  <w:num w:numId="8">
    <w:abstractNumId w:val="15"/>
  </w:num>
  <w:num w:numId="9">
    <w:abstractNumId w:val="11"/>
  </w:num>
  <w:num w:numId="10">
    <w:abstractNumId w:val="2"/>
  </w:num>
  <w:num w:numId="11">
    <w:abstractNumId w:val="1"/>
  </w:num>
  <w:num w:numId="12">
    <w:abstractNumId w:val="0"/>
  </w:num>
  <w:num w:numId="13">
    <w:abstractNumId w:val="27"/>
  </w:num>
  <w:num w:numId="14">
    <w:abstractNumId w:val="28"/>
  </w:num>
  <w:num w:numId="15">
    <w:abstractNumId w:val="21"/>
  </w:num>
  <w:num w:numId="16">
    <w:abstractNumId w:val="30"/>
  </w:num>
  <w:num w:numId="17">
    <w:abstractNumId w:val="8"/>
  </w:num>
  <w:num w:numId="18">
    <w:abstractNumId w:val="9"/>
  </w:num>
  <w:num w:numId="19">
    <w:abstractNumId w:val="4"/>
  </w:num>
  <w:num w:numId="20">
    <w:abstractNumId w:val="35"/>
  </w:num>
  <w:num w:numId="21">
    <w:abstractNumId w:val="16"/>
  </w:num>
  <w:num w:numId="22">
    <w:abstractNumId w:val="33"/>
  </w:num>
  <w:num w:numId="23">
    <w:abstractNumId w:val="12"/>
  </w:num>
  <w:num w:numId="24">
    <w:abstractNumId w:val="12"/>
  </w:num>
  <w:num w:numId="25">
    <w:abstractNumId w:val="26"/>
  </w:num>
  <w:num w:numId="26">
    <w:abstractNumId w:val="23"/>
  </w:num>
  <w:num w:numId="27">
    <w:abstractNumId w:val="25"/>
  </w:num>
  <w:num w:numId="28">
    <w:abstractNumId w:val="17"/>
  </w:num>
  <w:num w:numId="29">
    <w:abstractNumId w:val="10"/>
  </w:num>
  <w:num w:numId="30">
    <w:abstractNumId w:val="5"/>
  </w:num>
  <w:num w:numId="31">
    <w:abstractNumId w:val="34"/>
  </w:num>
  <w:num w:numId="32">
    <w:abstractNumId w:val="18"/>
  </w:num>
  <w:num w:numId="33">
    <w:abstractNumId w:val="36"/>
  </w:num>
  <w:num w:numId="34">
    <w:abstractNumId w:val="32"/>
  </w:num>
  <w:num w:numId="35">
    <w:abstractNumId w:val="6"/>
  </w:num>
  <w:num w:numId="36">
    <w:abstractNumId w:val="31"/>
  </w:num>
  <w:num w:numId="37">
    <w:abstractNumId w:val="7"/>
  </w:num>
  <w:num w:numId="38">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CDC"/>
    <w:rsid w:val="00011B28"/>
    <w:rsid w:val="00015D15"/>
    <w:rsid w:val="0002564D"/>
    <w:rsid w:val="00025ECA"/>
    <w:rsid w:val="00026F8A"/>
    <w:rsid w:val="000325B8"/>
    <w:rsid w:val="00034C15"/>
    <w:rsid w:val="00036BA1"/>
    <w:rsid w:val="000422E2"/>
    <w:rsid w:val="00042F22"/>
    <w:rsid w:val="000444EF"/>
    <w:rsid w:val="00044C67"/>
    <w:rsid w:val="00052A07"/>
    <w:rsid w:val="000534E3"/>
    <w:rsid w:val="00055C7C"/>
    <w:rsid w:val="0005606A"/>
    <w:rsid w:val="00057117"/>
    <w:rsid w:val="000616E7"/>
    <w:rsid w:val="0006487E"/>
    <w:rsid w:val="00065E1A"/>
    <w:rsid w:val="00075AB2"/>
    <w:rsid w:val="00077E5F"/>
    <w:rsid w:val="0008036A"/>
    <w:rsid w:val="00081160"/>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B71EB"/>
    <w:rsid w:val="000B7D7D"/>
    <w:rsid w:val="000C165A"/>
    <w:rsid w:val="000C2E19"/>
    <w:rsid w:val="000C7E89"/>
    <w:rsid w:val="000D0D07"/>
    <w:rsid w:val="000D4797"/>
    <w:rsid w:val="000E0527"/>
    <w:rsid w:val="000E1E92"/>
    <w:rsid w:val="000E5128"/>
    <w:rsid w:val="000F06D6"/>
    <w:rsid w:val="000F0EB1"/>
    <w:rsid w:val="000F1106"/>
    <w:rsid w:val="000F3BE9"/>
    <w:rsid w:val="000F3F6C"/>
    <w:rsid w:val="000F6DF3"/>
    <w:rsid w:val="001005FF"/>
    <w:rsid w:val="00104421"/>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4467"/>
    <w:rsid w:val="00151E23"/>
    <w:rsid w:val="001526E0"/>
    <w:rsid w:val="001551B5"/>
    <w:rsid w:val="001659C1"/>
    <w:rsid w:val="001705A0"/>
    <w:rsid w:val="00173A8E"/>
    <w:rsid w:val="0017502C"/>
    <w:rsid w:val="0018143F"/>
    <w:rsid w:val="00181FF8"/>
    <w:rsid w:val="00190AC1"/>
    <w:rsid w:val="0019341A"/>
    <w:rsid w:val="00197DF9"/>
    <w:rsid w:val="001A1987"/>
    <w:rsid w:val="001A2564"/>
    <w:rsid w:val="001A6173"/>
    <w:rsid w:val="001A68CD"/>
    <w:rsid w:val="001A6CBA"/>
    <w:rsid w:val="001B0D97"/>
    <w:rsid w:val="001B5A5D"/>
    <w:rsid w:val="001C1CE5"/>
    <w:rsid w:val="001C1DD3"/>
    <w:rsid w:val="001C330E"/>
    <w:rsid w:val="001C3D2A"/>
    <w:rsid w:val="001C4523"/>
    <w:rsid w:val="001D51BA"/>
    <w:rsid w:val="001D53E7"/>
    <w:rsid w:val="001D6342"/>
    <w:rsid w:val="001D6D53"/>
    <w:rsid w:val="001D7D99"/>
    <w:rsid w:val="001E58E2"/>
    <w:rsid w:val="001E7AED"/>
    <w:rsid w:val="001F3916"/>
    <w:rsid w:val="001F54C5"/>
    <w:rsid w:val="001F662C"/>
    <w:rsid w:val="001F7074"/>
    <w:rsid w:val="00200490"/>
    <w:rsid w:val="00201F3A"/>
    <w:rsid w:val="00203F96"/>
    <w:rsid w:val="002069B2"/>
    <w:rsid w:val="00207C8E"/>
    <w:rsid w:val="00207FA3"/>
    <w:rsid w:val="0021134C"/>
    <w:rsid w:val="00214DA8"/>
    <w:rsid w:val="00215423"/>
    <w:rsid w:val="002158FA"/>
    <w:rsid w:val="00220600"/>
    <w:rsid w:val="002224DB"/>
    <w:rsid w:val="00223FCB"/>
    <w:rsid w:val="002252C3"/>
    <w:rsid w:val="00225C54"/>
    <w:rsid w:val="00227475"/>
    <w:rsid w:val="00230765"/>
    <w:rsid w:val="00230D18"/>
    <w:rsid w:val="002319E4"/>
    <w:rsid w:val="002338B3"/>
    <w:rsid w:val="00235632"/>
    <w:rsid w:val="00235872"/>
    <w:rsid w:val="00241559"/>
    <w:rsid w:val="002435B3"/>
    <w:rsid w:val="002458EB"/>
    <w:rsid w:val="002477C6"/>
    <w:rsid w:val="002500C8"/>
    <w:rsid w:val="00255335"/>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B626A"/>
    <w:rsid w:val="002C4191"/>
    <w:rsid w:val="002C41E6"/>
    <w:rsid w:val="002D071A"/>
    <w:rsid w:val="002D34B2"/>
    <w:rsid w:val="002D48B0"/>
    <w:rsid w:val="002D5B37"/>
    <w:rsid w:val="002D7637"/>
    <w:rsid w:val="002E17F2"/>
    <w:rsid w:val="002E7CAE"/>
    <w:rsid w:val="002F2771"/>
    <w:rsid w:val="002F37A9"/>
    <w:rsid w:val="002F566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4ABA"/>
    <w:rsid w:val="0037674A"/>
    <w:rsid w:val="00377CE1"/>
    <w:rsid w:val="00377E9C"/>
    <w:rsid w:val="00385BF0"/>
    <w:rsid w:val="0039007D"/>
    <w:rsid w:val="0039094C"/>
    <w:rsid w:val="003939FF"/>
    <w:rsid w:val="003A2223"/>
    <w:rsid w:val="003A2A0F"/>
    <w:rsid w:val="003A45A1"/>
    <w:rsid w:val="003A4929"/>
    <w:rsid w:val="003A5B0A"/>
    <w:rsid w:val="003A6BAC"/>
    <w:rsid w:val="003A70A4"/>
    <w:rsid w:val="003A7EF3"/>
    <w:rsid w:val="003B159C"/>
    <w:rsid w:val="003B369F"/>
    <w:rsid w:val="003B36A3"/>
    <w:rsid w:val="003B64BB"/>
    <w:rsid w:val="003B7FE5"/>
    <w:rsid w:val="003C11C8"/>
    <w:rsid w:val="003C2702"/>
    <w:rsid w:val="003C2FB2"/>
    <w:rsid w:val="003C4754"/>
    <w:rsid w:val="003C728F"/>
    <w:rsid w:val="003C7806"/>
    <w:rsid w:val="003D109F"/>
    <w:rsid w:val="003D2478"/>
    <w:rsid w:val="003D3C45"/>
    <w:rsid w:val="003D5B1F"/>
    <w:rsid w:val="003E15FA"/>
    <w:rsid w:val="003E55E4"/>
    <w:rsid w:val="003E6476"/>
    <w:rsid w:val="003E74E3"/>
    <w:rsid w:val="003F05C7"/>
    <w:rsid w:val="003F2CD4"/>
    <w:rsid w:val="003F45D6"/>
    <w:rsid w:val="003F6BBE"/>
    <w:rsid w:val="004000E8"/>
    <w:rsid w:val="00402E2B"/>
    <w:rsid w:val="0040512B"/>
    <w:rsid w:val="00405CA5"/>
    <w:rsid w:val="00407192"/>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B35"/>
    <w:rsid w:val="00471DE0"/>
    <w:rsid w:val="004734D0"/>
    <w:rsid w:val="0047556B"/>
    <w:rsid w:val="00477768"/>
    <w:rsid w:val="004854FB"/>
    <w:rsid w:val="00485E45"/>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29D7"/>
    <w:rsid w:val="00506557"/>
    <w:rsid w:val="0050677A"/>
    <w:rsid w:val="005108D8"/>
    <w:rsid w:val="005116F9"/>
    <w:rsid w:val="00514158"/>
    <w:rsid w:val="005153A7"/>
    <w:rsid w:val="005219CF"/>
    <w:rsid w:val="00525EBA"/>
    <w:rsid w:val="00534B59"/>
    <w:rsid w:val="005360F9"/>
    <w:rsid w:val="00536759"/>
    <w:rsid w:val="00537C62"/>
    <w:rsid w:val="00546970"/>
    <w:rsid w:val="00554E19"/>
    <w:rsid w:val="00556251"/>
    <w:rsid w:val="005565C7"/>
    <w:rsid w:val="0056121F"/>
    <w:rsid w:val="00572505"/>
    <w:rsid w:val="00582809"/>
    <w:rsid w:val="0058798C"/>
    <w:rsid w:val="005900FA"/>
    <w:rsid w:val="00592655"/>
    <w:rsid w:val="005935A4"/>
    <w:rsid w:val="005948C2"/>
    <w:rsid w:val="0059503B"/>
    <w:rsid w:val="00595DCA"/>
    <w:rsid w:val="0059779B"/>
    <w:rsid w:val="005A209A"/>
    <w:rsid w:val="005A516B"/>
    <w:rsid w:val="005A662D"/>
    <w:rsid w:val="005B1409"/>
    <w:rsid w:val="005B35D7"/>
    <w:rsid w:val="005B392A"/>
    <w:rsid w:val="005B3AA3"/>
    <w:rsid w:val="005B6F83"/>
    <w:rsid w:val="005C0275"/>
    <w:rsid w:val="005C0601"/>
    <w:rsid w:val="005C74FB"/>
    <w:rsid w:val="005D1602"/>
    <w:rsid w:val="005D4FDF"/>
    <w:rsid w:val="005E385F"/>
    <w:rsid w:val="005E5B81"/>
    <w:rsid w:val="005F2CB1"/>
    <w:rsid w:val="005F3025"/>
    <w:rsid w:val="005F618C"/>
    <w:rsid w:val="005F70BD"/>
    <w:rsid w:val="0060283C"/>
    <w:rsid w:val="00604F14"/>
    <w:rsid w:val="00611B83"/>
    <w:rsid w:val="00613257"/>
    <w:rsid w:val="00614E33"/>
    <w:rsid w:val="0061623E"/>
    <w:rsid w:val="00620A71"/>
    <w:rsid w:val="00620D80"/>
    <w:rsid w:val="006234A6"/>
    <w:rsid w:val="006250B5"/>
    <w:rsid w:val="00630001"/>
    <w:rsid w:val="006311B3"/>
    <w:rsid w:val="0063284C"/>
    <w:rsid w:val="00636398"/>
    <w:rsid w:val="006368D3"/>
    <w:rsid w:val="006377EC"/>
    <w:rsid w:val="0063798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69C2"/>
    <w:rsid w:val="00697052"/>
    <w:rsid w:val="006A46FB"/>
    <w:rsid w:val="006A5E28"/>
    <w:rsid w:val="006A697B"/>
    <w:rsid w:val="006A7AFF"/>
    <w:rsid w:val="006B1816"/>
    <w:rsid w:val="006B2099"/>
    <w:rsid w:val="006B50CF"/>
    <w:rsid w:val="006C03B8"/>
    <w:rsid w:val="006C5BEE"/>
    <w:rsid w:val="006C5C50"/>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6F27"/>
    <w:rsid w:val="00707072"/>
    <w:rsid w:val="00707717"/>
    <w:rsid w:val="00707D61"/>
    <w:rsid w:val="007113A4"/>
    <w:rsid w:val="00712287"/>
    <w:rsid w:val="00712772"/>
    <w:rsid w:val="007148D3"/>
    <w:rsid w:val="00715B9A"/>
    <w:rsid w:val="00715EB1"/>
    <w:rsid w:val="007171CB"/>
    <w:rsid w:val="007257D0"/>
    <w:rsid w:val="0072603B"/>
    <w:rsid w:val="00726EA6"/>
    <w:rsid w:val="00727208"/>
    <w:rsid w:val="00727680"/>
    <w:rsid w:val="007348B1"/>
    <w:rsid w:val="007362A6"/>
    <w:rsid w:val="00736D7D"/>
    <w:rsid w:val="00740E58"/>
    <w:rsid w:val="007445A0"/>
    <w:rsid w:val="0074524B"/>
    <w:rsid w:val="00747D8B"/>
    <w:rsid w:val="00751228"/>
    <w:rsid w:val="007571E1"/>
    <w:rsid w:val="007604B2"/>
    <w:rsid w:val="007610F5"/>
    <w:rsid w:val="00765281"/>
    <w:rsid w:val="00765C5F"/>
    <w:rsid w:val="00766BAD"/>
    <w:rsid w:val="007729A2"/>
    <w:rsid w:val="007755F2"/>
    <w:rsid w:val="00776971"/>
    <w:rsid w:val="00780A80"/>
    <w:rsid w:val="0078177E"/>
    <w:rsid w:val="0078304C"/>
    <w:rsid w:val="00783673"/>
    <w:rsid w:val="00785490"/>
    <w:rsid w:val="00791C0B"/>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D754C"/>
    <w:rsid w:val="007E4610"/>
    <w:rsid w:val="007E4715"/>
    <w:rsid w:val="007E505B"/>
    <w:rsid w:val="007E7091"/>
    <w:rsid w:val="00803FAE"/>
    <w:rsid w:val="0080605F"/>
    <w:rsid w:val="00807786"/>
    <w:rsid w:val="00811FCB"/>
    <w:rsid w:val="00814320"/>
    <w:rsid w:val="008158D6"/>
    <w:rsid w:val="00817196"/>
    <w:rsid w:val="008235DB"/>
    <w:rsid w:val="00824AB4"/>
    <w:rsid w:val="00825C42"/>
    <w:rsid w:val="00825D25"/>
    <w:rsid w:val="00827D6F"/>
    <w:rsid w:val="008376AC"/>
    <w:rsid w:val="00843099"/>
    <w:rsid w:val="008444E8"/>
    <w:rsid w:val="00844B05"/>
    <w:rsid w:val="00844E80"/>
    <w:rsid w:val="00846FE7"/>
    <w:rsid w:val="008561EE"/>
    <w:rsid w:val="00856911"/>
    <w:rsid w:val="008677FD"/>
    <w:rsid w:val="008706D4"/>
    <w:rsid w:val="00870F8A"/>
    <w:rsid w:val="008719A4"/>
    <w:rsid w:val="00871D23"/>
    <w:rsid w:val="00872023"/>
    <w:rsid w:val="00874312"/>
    <w:rsid w:val="0087437C"/>
    <w:rsid w:val="00875CD7"/>
    <w:rsid w:val="00876B4D"/>
    <w:rsid w:val="00877F18"/>
    <w:rsid w:val="00883350"/>
    <w:rsid w:val="00886E66"/>
    <w:rsid w:val="00887C55"/>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6BD0"/>
    <w:rsid w:val="008B7B5C"/>
    <w:rsid w:val="008C0C99"/>
    <w:rsid w:val="008C2017"/>
    <w:rsid w:val="008C3E1C"/>
    <w:rsid w:val="008C3FE3"/>
    <w:rsid w:val="008C4958"/>
    <w:rsid w:val="008C4BAA"/>
    <w:rsid w:val="008C6AE8"/>
    <w:rsid w:val="008C7573"/>
    <w:rsid w:val="008D00A5"/>
    <w:rsid w:val="008D34F1"/>
    <w:rsid w:val="008D39D8"/>
    <w:rsid w:val="008D5229"/>
    <w:rsid w:val="008D6D1A"/>
    <w:rsid w:val="008E065E"/>
    <w:rsid w:val="008E0927"/>
    <w:rsid w:val="008E1909"/>
    <w:rsid w:val="008E5532"/>
    <w:rsid w:val="008F1C4E"/>
    <w:rsid w:val="008F1EAB"/>
    <w:rsid w:val="008F2BBA"/>
    <w:rsid w:val="008F33DC"/>
    <w:rsid w:val="008F477F"/>
    <w:rsid w:val="00902350"/>
    <w:rsid w:val="0090336B"/>
    <w:rsid w:val="009053AA"/>
    <w:rsid w:val="00906939"/>
    <w:rsid w:val="00910B7D"/>
    <w:rsid w:val="00911DFB"/>
    <w:rsid w:val="009139D9"/>
    <w:rsid w:val="00914AD8"/>
    <w:rsid w:val="00916079"/>
    <w:rsid w:val="00917CE9"/>
    <w:rsid w:val="00920BF2"/>
    <w:rsid w:val="00921463"/>
    <w:rsid w:val="00922010"/>
    <w:rsid w:val="00931BD9"/>
    <w:rsid w:val="009368F3"/>
    <w:rsid w:val="00937F9D"/>
    <w:rsid w:val="00941636"/>
    <w:rsid w:val="00943742"/>
    <w:rsid w:val="00945C05"/>
    <w:rsid w:val="00946945"/>
    <w:rsid w:val="00947713"/>
    <w:rsid w:val="00950DE7"/>
    <w:rsid w:val="00952221"/>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0E56"/>
    <w:rsid w:val="0099158B"/>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634"/>
    <w:rsid w:val="009F08F3"/>
    <w:rsid w:val="009F1338"/>
    <w:rsid w:val="009F344F"/>
    <w:rsid w:val="00A0104A"/>
    <w:rsid w:val="00A031D8"/>
    <w:rsid w:val="00A048A8"/>
    <w:rsid w:val="00A04F49"/>
    <w:rsid w:val="00A106D1"/>
    <w:rsid w:val="00A13E54"/>
    <w:rsid w:val="00A1400F"/>
    <w:rsid w:val="00A17F63"/>
    <w:rsid w:val="00A2193B"/>
    <w:rsid w:val="00A2351A"/>
    <w:rsid w:val="00A264A9"/>
    <w:rsid w:val="00A26DCF"/>
    <w:rsid w:val="00A27361"/>
    <w:rsid w:val="00A27785"/>
    <w:rsid w:val="00A30187"/>
    <w:rsid w:val="00A3448A"/>
    <w:rsid w:val="00A36297"/>
    <w:rsid w:val="00A41E2B"/>
    <w:rsid w:val="00A4302E"/>
    <w:rsid w:val="00A45B74"/>
    <w:rsid w:val="00A52E1D"/>
    <w:rsid w:val="00A53D1F"/>
    <w:rsid w:val="00A54296"/>
    <w:rsid w:val="00A54465"/>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A75E3"/>
    <w:rsid w:val="00AB0BC8"/>
    <w:rsid w:val="00AB11CA"/>
    <w:rsid w:val="00AB14D9"/>
    <w:rsid w:val="00AB3C40"/>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E67C9"/>
    <w:rsid w:val="00AF1C5D"/>
    <w:rsid w:val="00AF42D7"/>
    <w:rsid w:val="00B006FE"/>
    <w:rsid w:val="00B007CB"/>
    <w:rsid w:val="00B02AA9"/>
    <w:rsid w:val="00B02FA3"/>
    <w:rsid w:val="00B05084"/>
    <w:rsid w:val="00B14120"/>
    <w:rsid w:val="00B157F9"/>
    <w:rsid w:val="00B20256"/>
    <w:rsid w:val="00B20D09"/>
    <w:rsid w:val="00B2763F"/>
    <w:rsid w:val="00B27AAC"/>
    <w:rsid w:val="00B30929"/>
    <w:rsid w:val="00B36A0E"/>
    <w:rsid w:val="00B372AA"/>
    <w:rsid w:val="00B40445"/>
    <w:rsid w:val="00B409E0"/>
    <w:rsid w:val="00B41888"/>
    <w:rsid w:val="00B45A52"/>
    <w:rsid w:val="00B46175"/>
    <w:rsid w:val="00B548B7"/>
    <w:rsid w:val="00B6529F"/>
    <w:rsid w:val="00B664C7"/>
    <w:rsid w:val="00B739F6"/>
    <w:rsid w:val="00B74756"/>
    <w:rsid w:val="00B81A6C"/>
    <w:rsid w:val="00B853AD"/>
    <w:rsid w:val="00B85DE5"/>
    <w:rsid w:val="00B90F73"/>
    <w:rsid w:val="00B93B59"/>
    <w:rsid w:val="00B9406A"/>
    <w:rsid w:val="00BA2280"/>
    <w:rsid w:val="00BA2A08"/>
    <w:rsid w:val="00BA461A"/>
    <w:rsid w:val="00BA56D2"/>
    <w:rsid w:val="00BA76E0"/>
    <w:rsid w:val="00BB2A25"/>
    <w:rsid w:val="00BB51E9"/>
    <w:rsid w:val="00BC0FDC"/>
    <w:rsid w:val="00BC3053"/>
    <w:rsid w:val="00BC4D2E"/>
    <w:rsid w:val="00BC6571"/>
    <w:rsid w:val="00BD26CD"/>
    <w:rsid w:val="00BD48AC"/>
    <w:rsid w:val="00BD5F1A"/>
    <w:rsid w:val="00BE1234"/>
    <w:rsid w:val="00BE2FA6"/>
    <w:rsid w:val="00BE333F"/>
    <w:rsid w:val="00BE5B6C"/>
    <w:rsid w:val="00BE7406"/>
    <w:rsid w:val="00BE7603"/>
    <w:rsid w:val="00BF3279"/>
    <w:rsid w:val="00BF3540"/>
    <w:rsid w:val="00BF74C7"/>
    <w:rsid w:val="00C015F1"/>
    <w:rsid w:val="00C01F33"/>
    <w:rsid w:val="00C02CC6"/>
    <w:rsid w:val="00C040F7"/>
    <w:rsid w:val="00C044AB"/>
    <w:rsid w:val="00C05706"/>
    <w:rsid w:val="00C07377"/>
    <w:rsid w:val="00C10478"/>
    <w:rsid w:val="00C12107"/>
    <w:rsid w:val="00C14D4B"/>
    <w:rsid w:val="00C154BB"/>
    <w:rsid w:val="00C179A1"/>
    <w:rsid w:val="00C25072"/>
    <w:rsid w:val="00C25B05"/>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3AFC"/>
    <w:rsid w:val="00CB7170"/>
    <w:rsid w:val="00CC040E"/>
    <w:rsid w:val="00CC111F"/>
    <w:rsid w:val="00CC2011"/>
    <w:rsid w:val="00CC3EA0"/>
    <w:rsid w:val="00CC6E94"/>
    <w:rsid w:val="00CC7B45"/>
    <w:rsid w:val="00CD1188"/>
    <w:rsid w:val="00CD2ED1"/>
    <w:rsid w:val="00CD337B"/>
    <w:rsid w:val="00CE0424"/>
    <w:rsid w:val="00CE0BF7"/>
    <w:rsid w:val="00CE586B"/>
    <w:rsid w:val="00CE7561"/>
    <w:rsid w:val="00CE7EE4"/>
    <w:rsid w:val="00CF1354"/>
    <w:rsid w:val="00CF3B1F"/>
    <w:rsid w:val="00CF3BF6"/>
    <w:rsid w:val="00CF3F81"/>
    <w:rsid w:val="00CF625B"/>
    <w:rsid w:val="00CF687E"/>
    <w:rsid w:val="00D02E39"/>
    <w:rsid w:val="00D0349B"/>
    <w:rsid w:val="00D10249"/>
    <w:rsid w:val="00D115C3"/>
    <w:rsid w:val="00D11897"/>
    <w:rsid w:val="00D13135"/>
    <w:rsid w:val="00D13E4E"/>
    <w:rsid w:val="00D239A7"/>
    <w:rsid w:val="00D23F47"/>
    <w:rsid w:val="00D2455F"/>
    <w:rsid w:val="00D36E71"/>
    <w:rsid w:val="00D37D87"/>
    <w:rsid w:val="00D40B33"/>
    <w:rsid w:val="00D4318F"/>
    <w:rsid w:val="00D435B4"/>
    <w:rsid w:val="00D438BF"/>
    <w:rsid w:val="00D440F8"/>
    <w:rsid w:val="00D470CC"/>
    <w:rsid w:val="00D546FF"/>
    <w:rsid w:val="00D55AD5"/>
    <w:rsid w:val="00D576CA"/>
    <w:rsid w:val="00D603D5"/>
    <w:rsid w:val="00D61AF5"/>
    <w:rsid w:val="00D62A3C"/>
    <w:rsid w:val="00D652B5"/>
    <w:rsid w:val="00D66155"/>
    <w:rsid w:val="00D67741"/>
    <w:rsid w:val="00D708B0"/>
    <w:rsid w:val="00D7121A"/>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C7337"/>
    <w:rsid w:val="00DD11B8"/>
    <w:rsid w:val="00DD597E"/>
    <w:rsid w:val="00DE5608"/>
    <w:rsid w:val="00DE58D0"/>
    <w:rsid w:val="00DE654F"/>
    <w:rsid w:val="00DF0B6E"/>
    <w:rsid w:val="00DF15E0"/>
    <w:rsid w:val="00DF37A0"/>
    <w:rsid w:val="00E110E7"/>
    <w:rsid w:val="00E11B20"/>
    <w:rsid w:val="00E17FA2"/>
    <w:rsid w:val="00E22330"/>
    <w:rsid w:val="00E30B5A"/>
    <w:rsid w:val="00E30D47"/>
    <w:rsid w:val="00E3123D"/>
    <w:rsid w:val="00E31461"/>
    <w:rsid w:val="00E31D43"/>
    <w:rsid w:val="00E32608"/>
    <w:rsid w:val="00E34188"/>
    <w:rsid w:val="00E34B6E"/>
    <w:rsid w:val="00E35559"/>
    <w:rsid w:val="00E3723A"/>
    <w:rsid w:val="00E37860"/>
    <w:rsid w:val="00E42302"/>
    <w:rsid w:val="00E446F1"/>
    <w:rsid w:val="00E46886"/>
    <w:rsid w:val="00E47AEF"/>
    <w:rsid w:val="00E53B75"/>
    <w:rsid w:val="00E54E3B"/>
    <w:rsid w:val="00E57565"/>
    <w:rsid w:val="00E63838"/>
    <w:rsid w:val="00E64434"/>
    <w:rsid w:val="00E67C51"/>
    <w:rsid w:val="00E72EFC"/>
    <w:rsid w:val="00E758EC"/>
    <w:rsid w:val="00E76819"/>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E1DA8"/>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3E02"/>
    <w:rsid w:val="00F4766C"/>
    <w:rsid w:val="00F5060E"/>
    <w:rsid w:val="00F507D1"/>
    <w:rsid w:val="00F519CE"/>
    <w:rsid w:val="00F51ADA"/>
    <w:rsid w:val="00F60203"/>
    <w:rsid w:val="00F605BE"/>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37D2"/>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55E"/>
    <w:rsid w:val="00FD1EC8"/>
    <w:rsid w:val="00FD47ED"/>
    <w:rsid w:val="00FD5BA3"/>
    <w:rsid w:val="00FD74DB"/>
    <w:rsid w:val="00FD7660"/>
    <w:rsid w:val="00FE0655"/>
    <w:rsid w:val="00FE2365"/>
    <w:rsid w:val="00FE37D7"/>
    <w:rsid w:val="00FE4C7B"/>
    <w:rsid w:val="00FE7336"/>
    <w:rsid w:val="00FE787C"/>
    <w:rsid w:val="00FF0A7E"/>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15:docId w15:val="{7A14BB43-E373-46CE-9E17-5CAB2D1F9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5533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2553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255335"/>
    <w:pPr>
      <w:pBdr>
        <w:top w:val="none" w:sz="0" w:space="0" w:color="auto"/>
      </w:pBdr>
      <w:spacing w:before="180"/>
      <w:outlineLvl w:val="1"/>
    </w:pPr>
    <w:rPr>
      <w:sz w:val="32"/>
    </w:rPr>
  </w:style>
  <w:style w:type="paragraph" w:styleId="Heading3">
    <w:name w:val="heading 3"/>
    <w:basedOn w:val="Heading2"/>
    <w:next w:val="Normal"/>
    <w:link w:val="Heading3Char"/>
    <w:qFormat/>
    <w:rsid w:val="00255335"/>
    <w:pPr>
      <w:spacing w:before="120"/>
      <w:outlineLvl w:val="2"/>
    </w:pPr>
    <w:rPr>
      <w:sz w:val="28"/>
    </w:rPr>
  </w:style>
  <w:style w:type="paragraph" w:styleId="Heading4">
    <w:name w:val="heading 4"/>
    <w:basedOn w:val="Heading3"/>
    <w:next w:val="Normal"/>
    <w:link w:val="Heading4Char"/>
    <w:qFormat/>
    <w:rsid w:val="00255335"/>
    <w:pPr>
      <w:ind w:left="1418" w:hanging="1418"/>
      <w:outlineLvl w:val="3"/>
    </w:pPr>
    <w:rPr>
      <w:sz w:val="24"/>
    </w:rPr>
  </w:style>
  <w:style w:type="paragraph" w:styleId="Heading5">
    <w:name w:val="heading 5"/>
    <w:basedOn w:val="Heading4"/>
    <w:next w:val="Normal"/>
    <w:link w:val="Heading5Char"/>
    <w:qFormat/>
    <w:rsid w:val="00255335"/>
    <w:pPr>
      <w:ind w:left="1701" w:hanging="1701"/>
      <w:outlineLvl w:val="4"/>
    </w:pPr>
    <w:rPr>
      <w:sz w:val="22"/>
    </w:rPr>
  </w:style>
  <w:style w:type="paragraph" w:styleId="Heading6">
    <w:name w:val="heading 6"/>
    <w:basedOn w:val="H6"/>
    <w:next w:val="Normal"/>
    <w:link w:val="Heading6Char"/>
    <w:qFormat/>
    <w:rsid w:val="00255335"/>
    <w:pPr>
      <w:outlineLvl w:val="5"/>
    </w:pPr>
  </w:style>
  <w:style w:type="paragraph" w:styleId="Heading7">
    <w:name w:val="heading 7"/>
    <w:basedOn w:val="H6"/>
    <w:next w:val="Normal"/>
    <w:link w:val="Heading7Char"/>
    <w:qFormat/>
    <w:rsid w:val="00255335"/>
    <w:pPr>
      <w:outlineLvl w:val="6"/>
    </w:pPr>
  </w:style>
  <w:style w:type="paragraph" w:styleId="Heading8">
    <w:name w:val="heading 8"/>
    <w:basedOn w:val="Heading1"/>
    <w:next w:val="Normal"/>
    <w:link w:val="Heading8Char"/>
    <w:qFormat/>
    <w:rsid w:val="00255335"/>
    <w:pPr>
      <w:ind w:left="0" w:firstLine="0"/>
      <w:outlineLvl w:val="7"/>
    </w:pPr>
  </w:style>
  <w:style w:type="paragraph" w:styleId="Heading9">
    <w:name w:val="heading 9"/>
    <w:basedOn w:val="Heading8"/>
    <w:next w:val="Normal"/>
    <w:link w:val="Heading9Char"/>
    <w:qFormat/>
    <w:rsid w:val="002553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255335"/>
    <w:pPr>
      <w:spacing w:before="180"/>
      <w:ind w:left="2693" w:hanging="2693"/>
    </w:pPr>
    <w:rPr>
      <w:b/>
    </w:rPr>
  </w:style>
  <w:style w:type="paragraph" w:styleId="TOC1">
    <w:name w:val="toc 1"/>
    <w:uiPriority w:val="39"/>
    <w:rsid w:val="0025533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255335"/>
    <w:pPr>
      <w:keepNext/>
      <w:keepLines/>
      <w:spacing w:before="180"/>
      <w:jc w:val="center"/>
    </w:pPr>
  </w:style>
  <w:style w:type="paragraph" w:styleId="Caption">
    <w:name w:val="caption"/>
    <w:basedOn w:val="Normal"/>
    <w:next w:val="Normal"/>
    <w:qFormat/>
    <w:rsid w:val="00255335"/>
    <w:pPr>
      <w:spacing w:before="120" w:after="120"/>
    </w:pPr>
    <w:rPr>
      <w:b/>
      <w:lang w:eastAsia="en-GB"/>
    </w:rPr>
  </w:style>
  <w:style w:type="paragraph" w:styleId="TOC5">
    <w:name w:val="toc 5"/>
    <w:basedOn w:val="TOC4"/>
    <w:uiPriority w:val="39"/>
    <w:rsid w:val="00255335"/>
    <w:pPr>
      <w:ind w:left="1701" w:hanging="1701"/>
    </w:pPr>
  </w:style>
  <w:style w:type="paragraph" w:styleId="TOC4">
    <w:name w:val="toc 4"/>
    <w:basedOn w:val="TOC3"/>
    <w:uiPriority w:val="39"/>
    <w:rsid w:val="00255335"/>
    <w:pPr>
      <w:ind w:left="1418" w:hanging="1418"/>
    </w:pPr>
  </w:style>
  <w:style w:type="paragraph" w:styleId="TOC3">
    <w:name w:val="toc 3"/>
    <w:basedOn w:val="TOC2"/>
    <w:uiPriority w:val="39"/>
    <w:rsid w:val="00255335"/>
    <w:pPr>
      <w:ind w:left="1134" w:hanging="1134"/>
    </w:pPr>
  </w:style>
  <w:style w:type="paragraph" w:styleId="TOC2">
    <w:name w:val="toc 2"/>
    <w:basedOn w:val="TOC1"/>
    <w:uiPriority w:val="39"/>
    <w:rsid w:val="00255335"/>
    <w:pPr>
      <w:keepNext w:val="0"/>
      <w:spacing w:before="0"/>
      <w:ind w:left="851" w:hanging="851"/>
    </w:pPr>
    <w:rPr>
      <w:sz w:val="20"/>
    </w:rPr>
  </w:style>
  <w:style w:type="paragraph" w:styleId="Index2">
    <w:name w:val="index 2"/>
    <w:basedOn w:val="Index1"/>
    <w:rsid w:val="00255335"/>
    <w:pPr>
      <w:ind w:left="284"/>
    </w:pPr>
  </w:style>
  <w:style w:type="paragraph" w:styleId="Index1">
    <w:name w:val="index 1"/>
    <w:basedOn w:val="Normal"/>
    <w:rsid w:val="00255335"/>
    <w:pPr>
      <w:keepLines/>
      <w:spacing w:after="0"/>
    </w:pPr>
  </w:style>
  <w:style w:type="paragraph" w:styleId="DocumentMap">
    <w:name w:val="Document Map"/>
    <w:basedOn w:val="Normal"/>
    <w:link w:val="DocumentMapChar"/>
    <w:rsid w:val="00255335"/>
    <w:pPr>
      <w:shd w:val="clear" w:color="auto" w:fill="000080"/>
    </w:pPr>
    <w:rPr>
      <w:rFonts w:ascii="Tahoma" w:hAnsi="Tahoma" w:cs="Tahoma"/>
    </w:rPr>
  </w:style>
  <w:style w:type="paragraph" w:styleId="ListNumber2">
    <w:name w:val="List Number 2"/>
    <w:basedOn w:val="ListNumber"/>
    <w:rsid w:val="00255335"/>
    <w:pPr>
      <w:numPr>
        <w:numId w:val="22"/>
      </w:numPr>
    </w:pPr>
  </w:style>
  <w:style w:type="paragraph" w:styleId="ListNumber">
    <w:name w:val="List Number"/>
    <w:basedOn w:val="List"/>
    <w:rsid w:val="00255335"/>
    <w:pPr>
      <w:numPr>
        <w:numId w:val="21"/>
      </w:numPr>
    </w:pPr>
    <w:rPr>
      <w:lang w:eastAsia="ja-JP"/>
    </w:rPr>
  </w:style>
  <w:style w:type="paragraph" w:styleId="List">
    <w:name w:val="List"/>
    <w:basedOn w:val="BodyText"/>
    <w:rsid w:val="00255335"/>
    <w:pPr>
      <w:ind w:left="568" w:hanging="284"/>
    </w:pPr>
  </w:style>
  <w:style w:type="paragraph" w:styleId="Header">
    <w:name w:val="header"/>
    <w:link w:val="HeaderChar"/>
    <w:rsid w:val="0025533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255335"/>
    <w:rPr>
      <w:b/>
      <w:position w:val="6"/>
      <w:sz w:val="16"/>
    </w:rPr>
  </w:style>
  <w:style w:type="paragraph" w:styleId="FootnoteText">
    <w:name w:val="footnote text"/>
    <w:basedOn w:val="Normal"/>
    <w:link w:val="FootnoteTextChar"/>
    <w:rsid w:val="00255335"/>
    <w:pPr>
      <w:keepLines/>
      <w:spacing w:after="0"/>
      <w:ind w:left="454" w:hanging="454"/>
    </w:pPr>
    <w:rPr>
      <w:sz w:val="16"/>
    </w:rPr>
  </w:style>
  <w:style w:type="paragraph" w:customStyle="1" w:styleId="3GPPHeader">
    <w:name w:val="3GPP_Header"/>
    <w:basedOn w:val="BodyText"/>
    <w:rsid w:val="00255335"/>
    <w:pPr>
      <w:tabs>
        <w:tab w:val="left" w:pos="1701"/>
        <w:tab w:val="right" w:pos="9639"/>
      </w:tabs>
      <w:spacing w:after="240"/>
    </w:pPr>
    <w:rPr>
      <w:b/>
      <w:sz w:val="24"/>
    </w:rPr>
  </w:style>
  <w:style w:type="paragraph" w:styleId="TOC9">
    <w:name w:val="toc 9"/>
    <w:basedOn w:val="TOC8"/>
    <w:uiPriority w:val="39"/>
    <w:rsid w:val="00255335"/>
    <w:pPr>
      <w:ind w:left="1418" w:hanging="1418"/>
    </w:pPr>
  </w:style>
  <w:style w:type="paragraph" w:styleId="TOC6">
    <w:name w:val="toc 6"/>
    <w:basedOn w:val="TOC5"/>
    <w:next w:val="Normal"/>
    <w:uiPriority w:val="39"/>
    <w:rsid w:val="00255335"/>
    <w:pPr>
      <w:ind w:left="1985" w:hanging="1985"/>
    </w:pPr>
  </w:style>
  <w:style w:type="paragraph" w:styleId="TOC7">
    <w:name w:val="toc 7"/>
    <w:basedOn w:val="TOC6"/>
    <w:next w:val="Normal"/>
    <w:uiPriority w:val="39"/>
    <w:rsid w:val="00255335"/>
    <w:pPr>
      <w:ind w:left="2268" w:hanging="2268"/>
    </w:pPr>
  </w:style>
  <w:style w:type="paragraph" w:styleId="ListBullet2">
    <w:name w:val="List Bullet 2"/>
    <w:basedOn w:val="ListBullet"/>
    <w:rsid w:val="00255335"/>
    <w:pPr>
      <w:numPr>
        <w:numId w:val="17"/>
      </w:numPr>
    </w:pPr>
  </w:style>
  <w:style w:type="paragraph" w:styleId="ListBullet">
    <w:name w:val="List Bullet"/>
    <w:basedOn w:val="List"/>
    <w:rsid w:val="00255335"/>
    <w:pPr>
      <w:numPr>
        <w:numId w:val="16"/>
      </w:numPr>
    </w:pPr>
    <w:rPr>
      <w:lang w:eastAsia="ja-JP"/>
    </w:rPr>
  </w:style>
  <w:style w:type="paragraph" w:styleId="ListBullet3">
    <w:name w:val="List Bullet 3"/>
    <w:basedOn w:val="ListBullet2"/>
    <w:rsid w:val="00255335"/>
    <w:pPr>
      <w:numPr>
        <w:numId w:val="18"/>
      </w:numPr>
    </w:pPr>
  </w:style>
  <w:style w:type="paragraph" w:customStyle="1" w:styleId="EQ">
    <w:name w:val="EQ"/>
    <w:basedOn w:val="Normal"/>
    <w:next w:val="Normal"/>
    <w:rsid w:val="00255335"/>
    <w:pPr>
      <w:keepLines/>
      <w:tabs>
        <w:tab w:val="center" w:pos="4536"/>
        <w:tab w:val="right" w:pos="9072"/>
      </w:tabs>
    </w:pPr>
    <w:rPr>
      <w:noProof/>
    </w:rPr>
  </w:style>
  <w:style w:type="paragraph" w:styleId="List2">
    <w:name w:val="List 2"/>
    <w:basedOn w:val="List"/>
    <w:rsid w:val="00255335"/>
    <w:pPr>
      <w:ind w:left="851"/>
    </w:pPr>
    <w:rPr>
      <w:lang w:eastAsia="ja-JP"/>
    </w:rPr>
  </w:style>
  <w:style w:type="paragraph" w:styleId="List3">
    <w:name w:val="List 3"/>
    <w:basedOn w:val="List2"/>
    <w:rsid w:val="00255335"/>
    <w:pPr>
      <w:ind w:left="1135"/>
    </w:pPr>
  </w:style>
  <w:style w:type="paragraph" w:styleId="List4">
    <w:name w:val="List 4"/>
    <w:basedOn w:val="List3"/>
    <w:rsid w:val="00255335"/>
    <w:pPr>
      <w:ind w:left="1418"/>
    </w:pPr>
  </w:style>
  <w:style w:type="paragraph" w:styleId="List5">
    <w:name w:val="List 5"/>
    <w:basedOn w:val="List4"/>
    <w:rsid w:val="00255335"/>
    <w:pPr>
      <w:ind w:left="1702"/>
    </w:pPr>
  </w:style>
  <w:style w:type="paragraph" w:customStyle="1" w:styleId="EditorsNote">
    <w:name w:val="Editor's Note"/>
    <w:basedOn w:val="NO"/>
    <w:link w:val="EditorsNoteChar"/>
    <w:rsid w:val="00255335"/>
    <w:rPr>
      <w:color w:val="FF0000"/>
      <w:lang w:val="x-none" w:eastAsia="x-none"/>
    </w:rPr>
  </w:style>
  <w:style w:type="paragraph" w:styleId="ListBullet4">
    <w:name w:val="List Bullet 4"/>
    <w:basedOn w:val="ListBullet3"/>
    <w:rsid w:val="00255335"/>
    <w:pPr>
      <w:numPr>
        <w:numId w:val="19"/>
      </w:numPr>
    </w:pPr>
  </w:style>
  <w:style w:type="paragraph" w:styleId="ListBullet5">
    <w:name w:val="List Bullet 5"/>
    <w:basedOn w:val="ListBullet4"/>
    <w:rsid w:val="00255335"/>
    <w:pPr>
      <w:numPr>
        <w:numId w:val="20"/>
      </w:numPr>
    </w:pPr>
  </w:style>
  <w:style w:type="paragraph" w:styleId="Footer">
    <w:name w:val="footer"/>
    <w:basedOn w:val="Header"/>
    <w:link w:val="FooterChar"/>
    <w:rsid w:val="00255335"/>
    <w:pPr>
      <w:jc w:val="center"/>
    </w:pPr>
    <w:rPr>
      <w:i/>
    </w:rPr>
  </w:style>
  <w:style w:type="paragraph" w:customStyle="1" w:styleId="Reference">
    <w:name w:val="Reference"/>
    <w:basedOn w:val="BodyText"/>
    <w:rsid w:val="00255335"/>
    <w:pPr>
      <w:numPr>
        <w:numId w:val="2"/>
      </w:numPr>
    </w:pPr>
  </w:style>
  <w:style w:type="paragraph" w:styleId="BalloonText">
    <w:name w:val="Balloon Text"/>
    <w:basedOn w:val="Normal"/>
    <w:link w:val="BalloonTextChar"/>
    <w:rsid w:val="00255335"/>
    <w:pPr>
      <w:spacing w:after="0"/>
    </w:pPr>
    <w:rPr>
      <w:rFonts w:ascii="Segoe UI" w:hAnsi="Segoe UI" w:cs="Segoe UI"/>
      <w:sz w:val="18"/>
      <w:szCs w:val="18"/>
    </w:rPr>
  </w:style>
  <w:style w:type="character" w:styleId="PageNumber">
    <w:name w:val="page number"/>
    <w:basedOn w:val="DefaultParagraphFont"/>
    <w:rsid w:val="00255335"/>
  </w:style>
  <w:style w:type="paragraph" w:styleId="BodyText">
    <w:name w:val="Body Text"/>
    <w:basedOn w:val="Normal"/>
    <w:link w:val="BodyTextChar"/>
    <w:rsid w:val="00255335"/>
    <w:pPr>
      <w:spacing w:after="120"/>
      <w:jc w:val="both"/>
    </w:pPr>
    <w:rPr>
      <w:rFonts w:ascii="Arial" w:hAnsi="Arial"/>
      <w:lang w:eastAsia="zh-CN"/>
    </w:rPr>
  </w:style>
  <w:style w:type="character" w:styleId="Hyperlink">
    <w:name w:val="Hyperlink"/>
    <w:uiPriority w:val="99"/>
    <w:rsid w:val="00255335"/>
    <w:rPr>
      <w:color w:val="0000FF"/>
      <w:u w:val="single"/>
    </w:rPr>
  </w:style>
  <w:style w:type="character" w:styleId="FollowedHyperlink">
    <w:name w:val="FollowedHyperlink"/>
    <w:unhideWhenUsed/>
    <w:rsid w:val="00255335"/>
    <w:rPr>
      <w:color w:val="800080"/>
      <w:u w:val="single"/>
    </w:rPr>
  </w:style>
  <w:style w:type="character" w:styleId="CommentReference">
    <w:name w:val="annotation reference"/>
    <w:uiPriority w:val="99"/>
    <w:qFormat/>
    <w:rsid w:val="00255335"/>
    <w:rPr>
      <w:sz w:val="16"/>
      <w:szCs w:val="16"/>
    </w:rPr>
  </w:style>
  <w:style w:type="paragraph" w:styleId="CommentText">
    <w:name w:val="annotation text"/>
    <w:basedOn w:val="Normal"/>
    <w:link w:val="CommentTextChar"/>
    <w:uiPriority w:val="99"/>
    <w:qFormat/>
    <w:rsid w:val="00255335"/>
  </w:style>
  <w:style w:type="paragraph" w:styleId="CommentSubject">
    <w:name w:val="annotation subject"/>
    <w:basedOn w:val="CommentText"/>
    <w:next w:val="CommentText"/>
    <w:link w:val="CommentSubjectChar"/>
    <w:rsid w:val="00255335"/>
    <w:rPr>
      <w:b/>
      <w:bCs/>
    </w:rPr>
  </w:style>
  <w:style w:type="character" w:customStyle="1" w:styleId="Heading1Char">
    <w:name w:val="Heading 1 Char"/>
    <w:link w:val="Heading1"/>
    <w:rsid w:val="00255335"/>
    <w:rPr>
      <w:rFonts w:ascii="Arial" w:hAnsi="Arial"/>
      <w:sz w:val="36"/>
      <w:lang w:eastAsia="ja-JP"/>
    </w:rPr>
  </w:style>
  <w:style w:type="paragraph" w:customStyle="1" w:styleId="B1">
    <w:name w:val="B1"/>
    <w:basedOn w:val="List"/>
    <w:link w:val="B1Char1"/>
    <w:rsid w:val="00255335"/>
    <w:rPr>
      <w:rFonts w:ascii="Times New Roman" w:hAnsi="Times New Roman"/>
    </w:rPr>
  </w:style>
  <w:style w:type="paragraph" w:customStyle="1" w:styleId="B2">
    <w:name w:val="B2"/>
    <w:basedOn w:val="List2"/>
    <w:link w:val="B2Char"/>
    <w:rsid w:val="00255335"/>
    <w:rPr>
      <w:rFonts w:ascii="Times New Roman" w:hAnsi="Times New Roman"/>
    </w:rPr>
  </w:style>
  <w:style w:type="paragraph" w:customStyle="1" w:styleId="B3">
    <w:name w:val="B3"/>
    <w:basedOn w:val="List3"/>
    <w:link w:val="B3Char2"/>
    <w:rsid w:val="00255335"/>
    <w:rPr>
      <w:rFonts w:ascii="Times New Roman" w:hAnsi="Times New Roman"/>
    </w:rPr>
  </w:style>
  <w:style w:type="paragraph" w:customStyle="1" w:styleId="B4">
    <w:name w:val="B4"/>
    <w:basedOn w:val="List4"/>
    <w:link w:val="B4Char"/>
    <w:rsid w:val="00255335"/>
    <w:rPr>
      <w:rFonts w:ascii="Times New Roman" w:hAnsi="Times New Roman"/>
    </w:rPr>
  </w:style>
  <w:style w:type="paragraph" w:customStyle="1" w:styleId="Proposal">
    <w:name w:val="Proposal"/>
    <w:basedOn w:val="BodyText"/>
    <w:link w:val="ProposalChar"/>
    <w:rsid w:val="00255335"/>
    <w:pPr>
      <w:numPr>
        <w:numId w:val="3"/>
      </w:numPr>
      <w:tabs>
        <w:tab w:val="clear" w:pos="1304"/>
        <w:tab w:val="left" w:pos="1701"/>
      </w:tabs>
      <w:ind w:left="1701" w:hanging="1701"/>
    </w:pPr>
    <w:rPr>
      <w:b/>
      <w:bCs/>
    </w:rPr>
  </w:style>
  <w:style w:type="character" w:customStyle="1" w:styleId="BodyTextChar">
    <w:name w:val="Body Text Char"/>
    <w:link w:val="BodyText"/>
    <w:rsid w:val="00255335"/>
    <w:rPr>
      <w:rFonts w:ascii="Arial" w:hAnsi="Arial"/>
      <w:lang w:eastAsia="zh-CN"/>
    </w:rPr>
  </w:style>
  <w:style w:type="paragraph" w:customStyle="1" w:styleId="B5">
    <w:name w:val="B5"/>
    <w:basedOn w:val="List5"/>
    <w:link w:val="B5Char"/>
    <w:rsid w:val="00255335"/>
    <w:rPr>
      <w:rFonts w:ascii="Times New Roman" w:hAnsi="Times New Roman"/>
    </w:rPr>
  </w:style>
  <w:style w:type="paragraph" w:customStyle="1" w:styleId="EX">
    <w:name w:val="EX"/>
    <w:basedOn w:val="Normal"/>
    <w:rsid w:val="00255335"/>
    <w:pPr>
      <w:keepLines/>
      <w:ind w:left="1702" w:hanging="1418"/>
    </w:pPr>
  </w:style>
  <w:style w:type="paragraph" w:customStyle="1" w:styleId="EW">
    <w:name w:val="EW"/>
    <w:basedOn w:val="EX"/>
    <w:rsid w:val="00255335"/>
    <w:pPr>
      <w:spacing w:after="0"/>
    </w:pPr>
  </w:style>
  <w:style w:type="paragraph" w:customStyle="1" w:styleId="TAL">
    <w:name w:val="TAL"/>
    <w:basedOn w:val="Normal"/>
    <w:link w:val="TALCar"/>
    <w:rsid w:val="00255335"/>
    <w:pPr>
      <w:keepNext/>
      <w:keepLines/>
      <w:spacing w:after="0"/>
    </w:pPr>
    <w:rPr>
      <w:rFonts w:ascii="Arial" w:hAnsi="Arial"/>
      <w:sz w:val="18"/>
      <w:lang w:val="x-none" w:eastAsia="x-none"/>
    </w:rPr>
  </w:style>
  <w:style w:type="paragraph" w:customStyle="1" w:styleId="TAC">
    <w:name w:val="TAC"/>
    <w:basedOn w:val="TAL"/>
    <w:rsid w:val="00255335"/>
    <w:pPr>
      <w:jc w:val="center"/>
    </w:pPr>
  </w:style>
  <w:style w:type="paragraph" w:customStyle="1" w:styleId="TAH">
    <w:name w:val="TAH"/>
    <w:basedOn w:val="TAC"/>
    <w:link w:val="TAHCar"/>
    <w:rsid w:val="00255335"/>
    <w:rPr>
      <w:b/>
    </w:rPr>
  </w:style>
  <w:style w:type="paragraph" w:customStyle="1" w:styleId="TAN">
    <w:name w:val="TAN"/>
    <w:basedOn w:val="TAL"/>
    <w:rsid w:val="00255335"/>
    <w:pPr>
      <w:ind w:left="851" w:hanging="851"/>
    </w:pPr>
  </w:style>
  <w:style w:type="paragraph" w:customStyle="1" w:styleId="TAR">
    <w:name w:val="TAR"/>
    <w:basedOn w:val="TAL"/>
    <w:rsid w:val="00255335"/>
    <w:pPr>
      <w:jc w:val="right"/>
    </w:pPr>
  </w:style>
  <w:style w:type="paragraph" w:customStyle="1" w:styleId="TH">
    <w:name w:val="TH"/>
    <w:basedOn w:val="Normal"/>
    <w:link w:val="THChar"/>
    <w:rsid w:val="00255335"/>
    <w:pPr>
      <w:keepNext/>
      <w:keepLines/>
      <w:spacing w:before="60"/>
      <w:jc w:val="center"/>
    </w:pPr>
    <w:rPr>
      <w:rFonts w:ascii="Arial" w:hAnsi="Arial"/>
      <w:b/>
      <w:lang w:val="x-none" w:eastAsia="x-none"/>
    </w:rPr>
  </w:style>
  <w:style w:type="paragraph" w:customStyle="1" w:styleId="TF">
    <w:name w:val="TF"/>
    <w:basedOn w:val="TH"/>
    <w:link w:val="TFChar"/>
    <w:rsid w:val="00255335"/>
    <w:pPr>
      <w:keepNext w:val="0"/>
      <w:spacing w:before="0" w:after="240"/>
    </w:pPr>
  </w:style>
  <w:style w:type="paragraph" w:customStyle="1" w:styleId="TT">
    <w:name w:val="TT"/>
    <w:basedOn w:val="Heading1"/>
    <w:next w:val="Normal"/>
    <w:rsid w:val="00255335"/>
    <w:pPr>
      <w:outlineLvl w:val="9"/>
    </w:pPr>
  </w:style>
  <w:style w:type="paragraph" w:customStyle="1" w:styleId="ZA">
    <w:name w:val="ZA"/>
    <w:rsid w:val="002553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2553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25533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25533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255335"/>
  </w:style>
  <w:style w:type="paragraph" w:customStyle="1" w:styleId="ZH">
    <w:name w:val="ZH"/>
    <w:rsid w:val="0025533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2553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255335"/>
    <w:pPr>
      <w:framePr w:hRule="auto" w:wrap="notBeside" w:y="852"/>
    </w:pPr>
    <w:rPr>
      <w:i w:val="0"/>
      <w:sz w:val="40"/>
    </w:rPr>
  </w:style>
  <w:style w:type="paragraph" w:customStyle="1" w:styleId="ZU">
    <w:name w:val="ZU"/>
    <w:rsid w:val="002553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255335"/>
    <w:pPr>
      <w:framePr w:wrap="notBeside" w:y="16161"/>
    </w:pPr>
  </w:style>
  <w:style w:type="paragraph" w:customStyle="1" w:styleId="FP">
    <w:name w:val="FP"/>
    <w:basedOn w:val="Normal"/>
    <w:rsid w:val="00255335"/>
    <w:pPr>
      <w:spacing w:after="0"/>
    </w:pPr>
  </w:style>
  <w:style w:type="paragraph" w:customStyle="1" w:styleId="Observation">
    <w:name w:val="Observation"/>
    <w:basedOn w:val="Proposal"/>
    <w:qFormat/>
    <w:rsid w:val="00255335"/>
    <w:pPr>
      <w:numPr>
        <w:numId w:val="13"/>
      </w:numPr>
      <w:ind w:left="1701" w:hanging="1701"/>
    </w:pPr>
    <w:rPr>
      <w:lang w:eastAsia="ja-JP"/>
    </w:rPr>
  </w:style>
  <w:style w:type="paragraph" w:styleId="TableofFigures">
    <w:name w:val="table of figures"/>
    <w:basedOn w:val="BodyText"/>
    <w:next w:val="Normal"/>
    <w:uiPriority w:val="99"/>
    <w:rsid w:val="00255335"/>
    <w:pPr>
      <w:ind w:left="1701" w:hanging="1701"/>
      <w:jc w:val="left"/>
    </w:pPr>
    <w:rPr>
      <w:b/>
    </w:rPr>
  </w:style>
  <w:style w:type="character" w:customStyle="1" w:styleId="B1Char1">
    <w:name w:val="B1 Char1"/>
    <w:link w:val="B1"/>
    <w:qFormat/>
    <w:rsid w:val="00255335"/>
    <w:rPr>
      <w:rFonts w:ascii="Times New Roman" w:hAnsi="Times New Roman"/>
      <w:lang w:eastAsia="zh-CN"/>
    </w:rPr>
  </w:style>
  <w:style w:type="character" w:customStyle="1" w:styleId="B2Char">
    <w:name w:val="B2 Char"/>
    <w:link w:val="B2"/>
    <w:qFormat/>
    <w:rsid w:val="00255335"/>
    <w:rPr>
      <w:rFonts w:ascii="Times New Roman" w:hAnsi="Times New Roman"/>
      <w:lang w:eastAsia="ja-JP"/>
    </w:rPr>
  </w:style>
  <w:style w:type="character" w:customStyle="1" w:styleId="B3Char2">
    <w:name w:val="B3 Char2"/>
    <w:link w:val="B3"/>
    <w:qFormat/>
    <w:rsid w:val="00255335"/>
    <w:rPr>
      <w:rFonts w:ascii="Times New Roman" w:hAnsi="Times New Roman"/>
      <w:lang w:eastAsia="ja-JP"/>
    </w:rPr>
  </w:style>
  <w:style w:type="character" w:customStyle="1" w:styleId="B4Char">
    <w:name w:val="B4 Char"/>
    <w:link w:val="B4"/>
    <w:rsid w:val="00255335"/>
    <w:rPr>
      <w:rFonts w:ascii="Times New Roman" w:hAnsi="Times New Roman"/>
      <w:lang w:eastAsia="ja-JP"/>
    </w:rPr>
  </w:style>
  <w:style w:type="character" w:customStyle="1" w:styleId="B5Char">
    <w:name w:val="B5 Char"/>
    <w:link w:val="B5"/>
    <w:rsid w:val="00255335"/>
    <w:rPr>
      <w:rFonts w:ascii="Times New Roman" w:hAnsi="Times New Roman"/>
      <w:lang w:eastAsia="ja-JP"/>
    </w:rPr>
  </w:style>
  <w:style w:type="paragraph" w:customStyle="1" w:styleId="B6">
    <w:name w:val="B6"/>
    <w:basedOn w:val="B5"/>
    <w:link w:val="B6Char"/>
    <w:rsid w:val="00255335"/>
    <w:pPr>
      <w:ind w:left="1985"/>
    </w:pPr>
  </w:style>
  <w:style w:type="character" w:customStyle="1" w:styleId="B6Char">
    <w:name w:val="B6 Char"/>
    <w:link w:val="B6"/>
    <w:rsid w:val="00255335"/>
    <w:rPr>
      <w:rFonts w:ascii="Times New Roman" w:hAnsi="Times New Roman"/>
      <w:lang w:eastAsia="ja-JP"/>
    </w:rPr>
  </w:style>
  <w:style w:type="paragraph" w:customStyle="1" w:styleId="B7">
    <w:name w:val="B7"/>
    <w:basedOn w:val="B6"/>
    <w:link w:val="B7Char"/>
    <w:rsid w:val="00255335"/>
    <w:pPr>
      <w:ind w:left="2269"/>
    </w:pPr>
  </w:style>
  <w:style w:type="character" w:customStyle="1" w:styleId="B7Char">
    <w:name w:val="B7 Char"/>
    <w:basedOn w:val="B6Char"/>
    <w:link w:val="B7"/>
    <w:rsid w:val="00255335"/>
    <w:rPr>
      <w:rFonts w:ascii="Times New Roman" w:hAnsi="Times New Roman"/>
      <w:lang w:eastAsia="ja-JP"/>
    </w:rPr>
  </w:style>
  <w:style w:type="paragraph" w:customStyle="1" w:styleId="B8">
    <w:name w:val="B8"/>
    <w:basedOn w:val="B7"/>
    <w:qFormat/>
    <w:rsid w:val="00255335"/>
    <w:pPr>
      <w:ind w:left="2552"/>
    </w:pPr>
  </w:style>
  <w:style w:type="character" w:customStyle="1" w:styleId="BalloonTextChar">
    <w:name w:val="Balloon Text Char"/>
    <w:link w:val="BalloonText"/>
    <w:rsid w:val="00255335"/>
    <w:rPr>
      <w:rFonts w:ascii="Segoe UI" w:hAnsi="Segoe UI" w:cs="Segoe UI"/>
      <w:sz w:val="18"/>
      <w:szCs w:val="18"/>
      <w:lang w:eastAsia="ja-JP"/>
    </w:rPr>
  </w:style>
  <w:style w:type="character" w:customStyle="1" w:styleId="CommentTextChar">
    <w:name w:val="Comment Text Char"/>
    <w:link w:val="CommentText"/>
    <w:uiPriority w:val="99"/>
    <w:qFormat/>
    <w:rsid w:val="00255335"/>
    <w:rPr>
      <w:rFonts w:ascii="Times New Roman" w:hAnsi="Times New Roman"/>
      <w:lang w:eastAsia="ja-JP"/>
    </w:rPr>
  </w:style>
  <w:style w:type="character" w:customStyle="1" w:styleId="CommentSubjectChar">
    <w:name w:val="Comment Subject Char"/>
    <w:link w:val="CommentSubject"/>
    <w:rsid w:val="00255335"/>
    <w:rPr>
      <w:rFonts w:ascii="Times New Roman" w:hAnsi="Times New Roman"/>
      <w:b/>
      <w:bCs/>
      <w:lang w:eastAsia="ja-JP"/>
    </w:rPr>
  </w:style>
  <w:style w:type="paragraph" w:customStyle="1" w:styleId="CRCoverPage">
    <w:name w:val="CR Cover Page"/>
    <w:link w:val="CRCoverPageZchn"/>
    <w:rsid w:val="00255335"/>
    <w:pPr>
      <w:spacing w:after="120"/>
    </w:pPr>
    <w:rPr>
      <w:rFonts w:ascii="Arial" w:hAnsi="Arial"/>
      <w:lang w:eastAsia="ko-KR"/>
    </w:rPr>
  </w:style>
  <w:style w:type="character" w:customStyle="1" w:styleId="CRCoverPageZchn">
    <w:name w:val="CR Cover Page Zchn"/>
    <w:link w:val="CRCoverPage"/>
    <w:rsid w:val="00255335"/>
    <w:rPr>
      <w:rFonts w:ascii="Arial" w:hAnsi="Arial"/>
      <w:lang w:eastAsia="ko-KR"/>
    </w:rPr>
  </w:style>
  <w:style w:type="paragraph" w:customStyle="1" w:styleId="Doc-text2">
    <w:name w:val="Doc-text2"/>
    <w:basedOn w:val="Normal"/>
    <w:link w:val="Doc-text2Char"/>
    <w:qFormat/>
    <w:rsid w:val="0025533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255335"/>
    <w:rPr>
      <w:rFonts w:ascii="Arial" w:eastAsia="MS Mincho" w:hAnsi="Arial"/>
      <w:szCs w:val="24"/>
      <w:lang w:val="x-none" w:eastAsia="x-none"/>
    </w:rPr>
  </w:style>
  <w:style w:type="character" w:customStyle="1" w:styleId="DocumentMapChar">
    <w:name w:val="Document Map Char"/>
    <w:link w:val="DocumentMap"/>
    <w:rsid w:val="00255335"/>
    <w:rPr>
      <w:rFonts w:ascii="Tahoma" w:hAnsi="Tahoma" w:cs="Tahoma"/>
      <w:shd w:val="clear" w:color="auto" w:fill="000080"/>
      <w:lang w:eastAsia="ja-JP"/>
    </w:rPr>
  </w:style>
  <w:style w:type="paragraph" w:customStyle="1" w:styleId="NO">
    <w:name w:val="NO"/>
    <w:basedOn w:val="Normal"/>
    <w:link w:val="NOChar"/>
    <w:rsid w:val="00255335"/>
    <w:pPr>
      <w:keepLines/>
      <w:ind w:left="1135" w:hanging="851"/>
    </w:pPr>
  </w:style>
  <w:style w:type="character" w:customStyle="1" w:styleId="NOChar">
    <w:name w:val="NO Char"/>
    <w:link w:val="NO"/>
    <w:qFormat/>
    <w:rsid w:val="00255335"/>
    <w:rPr>
      <w:rFonts w:ascii="Times New Roman" w:hAnsi="Times New Roman"/>
      <w:lang w:eastAsia="ja-JP"/>
    </w:rPr>
  </w:style>
  <w:style w:type="character" w:customStyle="1" w:styleId="EditorsNoteChar">
    <w:name w:val="Editor's Note Char"/>
    <w:link w:val="EditorsNote"/>
    <w:rsid w:val="00255335"/>
    <w:rPr>
      <w:rFonts w:ascii="Times New Roman" w:hAnsi="Times New Roman"/>
      <w:color w:val="FF0000"/>
      <w:lang w:val="x-none" w:eastAsia="x-none"/>
    </w:rPr>
  </w:style>
  <w:style w:type="paragraph" w:customStyle="1" w:styleId="EmailDiscussion">
    <w:name w:val="EmailDiscussion"/>
    <w:basedOn w:val="Normal"/>
    <w:next w:val="Normal"/>
    <w:rsid w:val="00255335"/>
    <w:pPr>
      <w:numPr>
        <w:numId w:val="14"/>
      </w:numPr>
      <w:spacing w:before="40" w:after="0"/>
    </w:pPr>
    <w:rPr>
      <w:rFonts w:ascii="Arial" w:eastAsia="MS Mincho" w:hAnsi="Arial"/>
      <w:b/>
      <w:szCs w:val="24"/>
      <w:lang w:eastAsia="en-GB"/>
    </w:rPr>
  </w:style>
  <w:style w:type="character" w:styleId="Emphasis">
    <w:name w:val="Emphasis"/>
    <w:qFormat/>
    <w:rsid w:val="00255335"/>
    <w:rPr>
      <w:i/>
      <w:iCs/>
    </w:rPr>
  </w:style>
  <w:style w:type="paragraph" w:customStyle="1" w:styleId="FigureTitle">
    <w:name w:val="Figure_Title"/>
    <w:basedOn w:val="Normal"/>
    <w:next w:val="Normal"/>
    <w:rsid w:val="0025533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255335"/>
    <w:rPr>
      <w:rFonts w:ascii="Arial" w:hAnsi="Arial"/>
      <w:b/>
      <w:noProof/>
      <w:sz w:val="18"/>
      <w:lang w:eastAsia="ja-JP"/>
    </w:rPr>
  </w:style>
  <w:style w:type="character" w:customStyle="1" w:styleId="FooterChar">
    <w:name w:val="Footer Char"/>
    <w:link w:val="Footer"/>
    <w:rsid w:val="00255335"/>
    <w:rPr>
      <w:rFonts w:ascii="Arial" w:hAnsi="Arial"/>
      <w:b/>
      <w:i/>
      <w:noProof/>
      <w:sz w:val="18"/>
      <w:lang w:eastAsia="ja-JP"/>
    </w:rPr>
  </w:style>
  <w:style w:type="character" w:customStyle="1" w:styleId="FootnoteTextChar">
    <w:name w:val="Footnote Text Char"/>
    <w:link w:val="FootnoteText"/>
    <w:rsid w:val="00255335"/>
    <w:rPr>
      <w:rFonts w:ascii="Times New Roman" w:hAnsi="Times New Roman"/>
      <w:sz w:val="16"/>
      <w:lang w:eastAsia="ja-JP"/>
    </w:rPr>
  </w:style>
  <w:style w:type="paragraph" w:customStyle="1" w:styleId="Guidance">
    <w:name w:val="Guidance"/>
    <w:basedOn w:val="Normal"/>
    <w:rsid w:val="00255335"/>
    <w:rPr>
      <w:i/>
      <w:color w:val="0000FF"/>
    </w:rPr>
  </w:style>
  <w:style w:type="character" w:customStyle="1" w:styleId="Heading2Char">
    <w:name w:val="Heading 2 Char"/>
    <w:link w:val="Heading2"/>
    <w:rsid w:val="00255335"/>
    <w:rPr>
      <w:rFonts w:ascii="Arial" w:hAnsi="Arial"/>
      <w:sz w:val="32"/>
      <w:lang w:eastAsia="ja-JP"/>
    </w:rPr>
  </w:style>
  <w:style w:type="character" w:customStyle="1" w:styleId="Heading3Char">
    <w:name w:val="Heading 3 Char"/>
    <w:link w:val="Heading3"/>
    <w:rsid w:val="00255335"/>
    <w:rPr>
      <w:rFonts w:ascii="Arial" w:hAnsi="Arial"/>
      <w:sz w:val="28"/>
      <w:lang w:eastAsia="ja-JP"/>
    </w:rPr>
  </w:style>
  <w:style w:type="character" w:customStyle="1" w:styleId="Heading4Char">
    <w:name w:val="Heading 4 Char"/>
    <w:link w:val="Heading4"/>
    <w:rsid w:val="00255335"/>
    <w:rPr>
      <w:rFonts w:ascii="Arial" w:hAnsi="Arial"/>
      <w:sz w:val="24"/>
      <w:lang w:eastAsia="ja-JP"/>
    </w:rPr>
  </w:style>
  <w:style w:type="character" w:customStyle="1" w:styleId="Heading5Char">
    <w:name w:val="Heading 5 Char"/>
    <w:link w:val="Heading5"/>
    <w:rsid w:val="00255335"/>
    <w:rPr>
      <w:rFonts w:ascii="Arial" w:hAnsi="Arial"/>
      <w:sz w:val="22"/>
      <w:lang w:eastAsia="ja-JP"/>
    </w:rPr>
  </w:style>
  <w:style w:type="paragraph" w:customStyle="1" w:styleId="H6">
    <w:name w:val="H6"/>
    <w:basedOn w:val="Heading5"/>
    <w:next w:val="Normal"/>
    <w:rsid w:val="00255335"/>
    <w:pPr>
      <w:ind w:left="1985" w:hanging="1985"/>
      <w:outlineLvl w:val="9"/>
    </w:pPr>
    <w:rPr>
      <w:sz w:val="20"/>
    </w:rPr>
  </w:style>
  <w:style w:type="character" w:customStyle="1" w:styleId="Heading6Char">
    <w:name w:val="Heading 6 Char"/>
    <w:link w:val="Heading6"/>
    <w:rsid w:val="00255335"/>
    <w:rPr>
      <w:rFonts w:ascii="Arial" w:hAnsi="Arial"/>
      <w:lang w:eastAsia="ja-JP"/>
    </w:rPr>
  </w:style>
  <w:style w:type="character" w:customStyle="1" w:styleId="Heading7Char">
    <w:name w:val="Heading 7 Char"/>
    <w:link w:val="Heading7"/>
    <w:rsid w:val="00255335"/>
    <w:rPr>
      <w:rFonts w:ascii="Arial" w:hAnsi="Arial"/>
      <w:lang w:eastAsia="ja-JP"/>
    </w:rPr>
  </w:style>
  <w:style w:type="character" w:customStyle="1" w:styleId="Heading8Char">
    <w:name w:val="Heading 8 Char"/>
    <w:link w:val="Heading8"/>
    <w:rsid w:val="00255335"/>
    <w:rPr>
      <w:rFonts w:ascii="Arial" w:hAnsi="Arial"/>
      <w:sz w:val="36"/>
      <w:lang w:eastAsia="ja-JP"/>
    </w:rPr>
  </w:style>
  <w:style w:type="character" w:customStyle="1" w:styleId="Heading9Char">
    <w:name w:val="Heading 9 Char"/>
    <w:link w:val="Heading9"/>
    <w:rsid w:val="00255335"/>
    <w:rPr>
      <w:rFonts w:ascii="Arial" w:hAnsi="Arial"/>
      <w:sz w:val="36"/>
      <w:lang w:eastAsia="ja-JP"/>
    </w:rPr>
  </w:style>
  <w:style w:type="character" w:styleId="HTMLCode">
    <w:name w:val="HTML Code"/>
    <w:uiPriority w:val="99"/>
    <w:unhideWhenUsed/>
    <w:rsid w:val="00255335"/>
    <w:rPr>
      <w:rFonts w:ascii="Courier New" w:eastAsia="Times New Roman" w:hAnsi="Courier New" w:cs="Courier New"/>
      <w:sz w:val="20"/>
      <w:szCs w:val="20"/>
    </w:rPr>
  </w:style>
  <w:style w:type="paragraph" w:styleId="IndexHeading">
    <w:name w:val="index heading"/>
    <w:basedOn w:val="Normal"/>
    <w:next w:val="Normal"/>
    <w:rsid w:val="00255335"/>
    <w:pPr>
      <w:pBdr>
        <w:top w:val="single" w:sz="12" w:space="0" w:color="auto"/>
      </w:pBdr>
      <w:spacing w:before="360" w:after="240"/>
    </w:pPr>
    <w:rPr>
      <w:b/>
      <w:i/>
      <w:sz w:val="26"/>
      <w:lang w:eastAsia="en-GB"/>
    </w:rPr>
  </w:style>
  <w:style w:type="paragraph" w:customStyle="1" w:styleId="LD">
    <w:name w:val="LD"/>
    <w:rsid w:val="0025533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25533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255335"/>
    <w:rPr>
      <w:rFonts w:ascii="Calibri" w:eastAsia="Calibri" w:hAnsi="Calibri"/>
      <w:sz w:val="22"/>
      <w:szCs w:val="22"/>
      <w:lang w:val="x-none" w:eastAsia="en-US"/>
    </w:rPr>
  </w:style>
  <w:style w:type="paragraph" w:customStyle="1" w:styleId="NF">
    <w:name w:val="NF"/>
    <w:basedOn w:val="NO"/>
    <w:rsid w:val="00255335"/>
    <w:pPr>
      <w:keepNext/>
      <w:spacing w:after="0"/>
    </w:pPr>
    <w:rPr>
      <w:rFonts w:ascii="Arial" w:hAnsi="Arial"/>
      <w:sz w:val="18"/>
    </w:rPr>
  </w:style>
  <w:style w:type="paragraph" w:customStyle="1" w:styleId="NW">
    <w:name w:val="NW"/>
    <w:basedOn w:val="NO"/>
    <w:rsid w:val="00255335"/>
    <w:pPr>
      <w:spacing w:after="0"/>
    </w:pPr>
  </w:style>
  <w:style w:type="paragraph" w:customStyle="1" w:styleId="PL">
    <w:name w:val="PL"/>
    <w:link w:val="PLChar"/>
    <w:qFormat/>
    <w:rsid w:val="002553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255335"/>
    <w:rPr>
      <w:rFonts w:ascii="Courier New" w:eastAsia="Batang" w:hAnsi="Courier New"/>
      <w:noProof/>
      <w:sz w:val="16"/>
      <w:shd w:val="clear" w:color="auto" w:fill="E6E6E6"/>
      <w:lang w:eastAsia="sv-SE"/>
    </w:rPr>
  </w:style>
  <w:style w:type="paragraph" w:styleId="PlainText">
    <w:name w:val="Plain Text"/>
    <w:basedOn w:val="Normal"/>
    <w:link w:val="PlainTextChar"/>
    <w:rsid w:val="00255335"/>
    <w:rPr>
      <w:rFonts w:ascii="Courier New" w:hAnsi="Courier New"/>
      <w:lang w:val="nb-NO"/>
    </w:rPr>
  </w:style>
  <w:style w:type="character" w:customStyle="1" w:styleId="PlainTextChar">
    <w:name w:val="Plain Text Char"/>
    <w:link w:val="PlainText"/>
    <w:rsid w:val="00255335"/>
    <w:rPr>
      <w:rFonts w:ascii="Courier New" w:hAnsi="Courier New"/>
      <w:lang w:val="nb-NO" w:eastAsia="ja-JP"/>
    </w:rPr>
  </w:style>
  <w:style w:type="character" w:styleId="Strong">
    <w:name w:val="Strong"/>
    <w:uiPriority w:val="22"/>
    <w:qFormat/>
    <w:rsid w:val="00255335"/>
    <w:rPr>
      <w:b/>
      <w:bCs/>
    </w:rPr>
  </w:style>
  <w:style w:type="table" w:styleId="TableGrid">
    <w:name w:val="Table Grid"/>
    <w:basedOn w:val="TableNormal"/>
    <w:uiPriority w:val="39"/>
    <w:rsid w:val="0025533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255335"/>
    <w:rPr>
      <w:rFonts w:ascii="Arial" w:hAnsi="Arial"/>
      <w:sz w:val="18"/>
      <w:lang w:val="x-none" w:eastAsia="x-none"/>
    </w:rPr>
  </w:style>
  <w:style w:type="character" w:customStyle="1" w:styleId="TAHCar">
    <w:name w:val="TAH Car"/>
    <w:link w:val="TAH"/>
    <w:locked/>
    <w:rsid w:val="00255335"/>
    <w:rPr>
      <w:rFonts w:ascii="Arial" w:hAnsi="Arial"/>
      <w:b/>
      <w:sz w:val="18"/>
      <w:lang w:val="x-none" w:eastAsia="x-none"/>
    </w:rPr>
  </w:style>
  <w:style w:type="character" w:customStyle="1" w:styleId="THChar">
    <w:name w:val="TH Char"/>
    <w:link w:val="TH"/>
    <w:rsid w:val="00255335"/>
    <w:rPr>
      <w:rFonts w:ascii="Arial" w:hAnsi="Arial"/>
      <w:b/>
      <w:lang w:val="x-none" w:eastAsia="x-none"/>
    </w:rPr>
  </w:style>
  <w:style w:type="paragraph" w:customStyle="1" w:styleId="TAJ">
    <w:name w:val="TAJ"/>
    <w:basedOn w:val="TH"/>
    <w:rsid w:val="00255335"/>
  </w:style>
  <w:style w:type="paragraph" w:customStyle="1" w:styleId="TALCharChar">
    <w:name w:val="TAL Char Char"/>
    <w:basedOn w:val="Normal"/>
    <w:link w:val="TALCharCharChar"/>
    <w:rsid w:val="0025533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255335"/>
    <w:rPr>
      <w:rFonts w:ascii="Arial" w:eastAsia="Malgun Gothic" w:hAnsi="Arial"/>
      <w:sz w:val="18"/>
      <w:lang w:val="x-none" w:eastAsia="x-none"/>
    </w:rPr>
  </w:style>
  <w:style w:type="character" w:customStyle="1" w:styleId="TFChar">
    <w:name w:val="TF Char"/>
    <w:link w:val="TF"/>
    <w:rsid w:val="00255335"/>
    <w:rPr>
      <w:rFonts w:ascii="Arial" w:hAnsi="Arial"/>
      <w:b/>
      <w:lang w:val="x-none" w:eastAsia="x-none"/>
    </w:rPr>
  </w:style>
  <w:style w:type="paragraph" w:styleId="ListContinue">
    <w:name w:val="List Continue"/>
    <w:basedOn w:val="Normal"/>
    <w:rsid w:val="00255335"/>
    <w:pPr>
      <w:spacing w:after="120"/>
      <w:ind w:left="283"/>
      <w:contextualSpacing/>
    </w:pPr>
    <w:rPr>
      <w:rFonts w:ascii="Arial" w:hAnsi="Arial"/>
    </w:rPr>
  </w:style>
  <w:style w:type="paragraph" w:styleId="ListContinue2">
    <w:name w:val="List Continue 2"/>
    <w:basedOn w:val="Normal"/>
    <w:rsid w:val="00255335"/>
    <w:pPr>
      <w:spacing w:after="120"/>
      <w:ind w:left="566"/>
      <w:contextualSpacing/>
    </w:pPr>
    <w:rPr>
      <w:rFonts w:ascii="Arial" w:hAnsi="Arial"/>
    </w:rPr>
  </w:style>
  <w:style w:type="paragraph" w:styleId="ListNumber3">
    <w:name w:val="List Number 3"/>
    <w:basedOn w:val="ListNumber2"/>
    <w:rsid w:val="00255335"/>
    <w:pPr>
      <w:numPr>
        <w:numId w:val="10"/>
      </w:numPr>
      <w:contextualSpacing/>
    </w:pPr>
  </w:style>
  <w:style w:type="character" w:customStyle="1" w:styleId="bulletChar">
    <w:name w:val="bullet Char"/>
    <w:basedOn w:val="DefaultParagraphFont"/>
    <w:link w:val="bullet"/>
    <w:locked/>
    <w:rsid w:val="005C0275"/>
    <w:rPr>
      <w:rFonts w:asciiTheme="minorHAnsi" w:hAnsiTheme="minorHAnsi" w:cstheme="minorBidi"/>
      <w:sz w:val="22"/>
      <w:szCs w:val="24"/>
    </w:rPr>
  </w:style>
  <w:style w:type="paragraph" w:customStyle="1" w:styleId="bullet">
    <w:name w:val="bullet"/>
    <w:basedOn w:val="ListParagraph"/>
    <w:link w:val="bulletChar"/>
    <w:qFormat/>
    <w:rsid w:val="005C0275"/>
    <w:pPr>
      <w:numPr>
        <w:numId w:val="23"/>
      </w:numPr>
      <w:overflowPunct/>
      <w:autoSpaceDE/>
      <w:autoSpaceDN/>
      <w:adjustRightInd/>
      <w:spacing w:after="160" w:line="256" w:lineRule="auto"/>
      <w:ind w:left="720"/>
      <w:contextualSpacing/>
      <w:textAlignment w:val="auto"/>
    </w:pPr>
    <w:rPr>
      <w:rFonts w:asciiTheme="minorHAnsi" w:eastAsia="Times New Roman" w:hAnsiTheme="minorHAnsi" w:cstheme="minorBidi"/>
      <w:szCs w:val="24"/>
      <w:lang w:val="en-GB" w:eastAsia="en-GB"/>
    </w:rPr>
  </w:style>
  <w:style w:type="character" w:customStyle="1" w:styleId="ProposalChar">
    <w:name w:val="Proposal Char"/>
    <w:basedOn w:val="DefaultParagraphFont"/>
    <w:link w:val="Proposal"/>
    <w:rsid w:val="00F43E02"/>
    <w:rPr>
      <w:rFonts w:ascii="Arial"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842814257">
      <w:bodyDiv w:val="1"/>
      <w:marLeft w:val="0"/>
      <w:marRight w:val="0"/>
      <w:marTop w:val="0"/>
      <w:marBottom w:val="0"/>
      <w:divBdr>
        <w:top w:val="none" w:sz="0" w:space="0" w:color="auto"/>
        <w:left w:val="none" w:sz="0" w:space="0" w:color="auto"/>
        <w:bottom w:val="none" w:sz="0" w:space="0" w:color="auto"/>
        <w:right w:val="none" w:sz="0" w:space="0" w:color="auto"/>
      </w:divBdr>
    </w:div>
    <w:div w:id="1009873591">
      <w:bodyDiv w:val="1"/>
      <w:marLeft w:val="0"/>
      <w:marRight w:val="0"/>
      <w:marTop w:val="0"/>
      <w:marBottom w:val="0"/>
      <w:divBdr>
        <w:top w:val="none" w:sz="0" w:space="0" w:color="auto"/>
        <w:left w:val="none" w:sz="0" w:space="0" w:color="auto"/>
        <w:bottom w:val="none" w:sz="0" w:space="0" w:color="auto"/>
        <w:right w:val="none" w:sz="0" w:space="0" w:color="auto"/>
      </w:divBdr>
    </w:div>
    <w:div w:id="1242331633">
      <w:bodyDiv w:val="1"/>
      <w:marLeft w:val="0"/>
      <w:marRight w:val="0"/>
      <w:marTop w:val="0"/>
      <w:marBottom w:val="0"/>
      <w:divBdr>
        <w:top w:val="none" w:sz="0" w:space="0" w:color="auto"/>
        <w:left w:val="none" w:sz="0" w:space="0" w:color="auto"/>
        <w:bottom w:val="none" w:sz="0" w:space="0" w:color="auto"/>
        <w:right w:val="none" w:sz="0" w:space="0" w:color="auto"/>
      </w:divBdr>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3.bin"/><Relationship Id="rId18" Type="http://schemas.openxmlformats.org/officeDocument/2006/relationships/oleObject" Target="embeddings/oleObject8.bin"/><Relationship Id="rId26" Type="http://schemas.openxmlformats.org/officeDocument/2006/relationships/oleObject" Target="embeddings/oleObject14.bin"/><Relationship Id="rId39" Type="http://schemas.openxmlformats.org/officeDocument/2006/relationships/oleObject" Target="embeddings/oleObject25.bin"/><Relationship Id="rId3" Type="http://schemas.openxmlformats.org/officeDocument/2006/relationships/styles" Target="styles.xml"/><Relationship Id="rId21" Type="http://schemas.openxmlformats.org/officeDocument/2006/relationships/oleObject" Target="embeddings/oleObject10.bin"/><Relationship Id="rId34" Type="http://schemas.openxmlformats.org/officeDocument/2006/relationships/oleObject" Target="embeddings/oleObject20.bin"/><Relationship Id="rId42" Type="http://schemas.openxmlformats.org/officeDocument/2006/relationships/oleObject" Target="embeddings/oleObject28.bin"/><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oleObject" Target="embeddings/oleObject7.bin"/><Relationship Id="rId25" Type="http://schemas.openxmlformats.org/officeDocument/2006/relationships/oleObject" Target="embeddings/oleObject13.bin"/><Relationship Id="rId33" Type="http://schemas.openxmlformats.org/officeDocument/2006/relationships/oleObject" Target="embeddings/oleObject19.bin"/><Relationship Id="rId38" Type="http://schemas.openxmlformats.org/officeDocument/2006/relationships/oleObject" Target="embeddings/oleObject24.bin"/><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image" Target="media/image4.wmf"/><Relationship Id="rId29" Type="http://schemas.openxmlformats.org/officeDocument/2006/relationships/image" Target="media/image7.wmf"/><Relationship Id="rId41" Type="http://schemas.openxmlformats.org/officeDocument/2006/relationships/oleObject" Target="embeddings/oleObject27.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12.bin"/><Relationship Id="rId32" Type="http://schemas.openxmlformats.org/officeDocument/2006/relationships/oleObject" Target="embeddings/oleObject18.bin"/><Relationship Id="rId37" Type="http://schemas.openxmlformats.org/officeDocument/2006/relationships/oleObject" Target="embeddings/oleObject23.bin"/><Relationship Id="rId40" Type="http://schemas.openxmlformats.org/officeDocument/2006/relationships/oleObject" Target="embeddings/oleObject26.bin"/><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11.bin"/><Relationship Id="rId28" Type="http://schemas.openxmlformats.org/officeDocument/2006/relationships/oleObject" Target="embeddings/oleObject15.bin"/><Relationship Id="rId36" Type="http://schemas.openxmlformats.org/officeDocument/2006/relationships/oleObject" Target="embeddings/oleObject22.bin"/><Relationship Id="rId10" Type="http://schemas.openxmlformats.org/officeDocument/2006/relationships/oleObject" Target="embeddings/oleObject1.bin"/><Relationship Id="rId19" Type="http://schemas.openxmlformats.org/officeDocument/2006/relationships/oleObject" Target="embeddings/oleObject9.bin"/><Relationship Id="rId31" Type="http://schemas.openxmlformats.org/officeDocument/2006/relationships/oleObject" Target="embeddings/oleObject17.bin"/><Relationship Id="rId44"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image" Target="media/image5.wmf"/><Relationship Id="rId27" Type="http://schemas.openxmlformats.org/officeDocument/2006/relationships/image" Target="media/image6.wmf"/><Relationship Id="rId30" Type="http://schemas.openxmlformats.org/officeDocument/2006/relationships/oleObject" Target="embeddings/oleObject16.bin"/><Relationship Id="rId35" Type="http://schemas.openxmlformats.org/officeDocument/2006/relationships/oleObject" Target="embeddings/oleObject21.bin"/><Relationship Id="rId43"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Home\eraisss\Documents\Standardisation\3GPP\TSG%20RAN\RAN1\RAN1_93_Busan_May18\Draft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34DE85-6704-425B-B24B-E15BAC4F82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456</TotalTime>
  <Pages>9</Pages>
  <Words>3284</Words>
  <Characters>18719</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21960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Ericsson</cp:lastModifiedBy>
  <cp:revision>100</cp:revision>
  <cp:lastPrinted>2008-01-31T07:09:00Z</cp:lastPrinted>
  <dcterms:created xsi:type="dcterms:W3CDTF">2018-05-02T12:08:00Z</dcterms:created>
  <dcterms:modified xsi:type="dcterms:W3CDTF">2018-05-11T17:40:00Z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